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477096">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350C68">
        <w:rPr>
          <w:rFonts w:ascii="Arial" w:hAnsi="Arial"/>
          <w:b/>
          <w:kern w:val="28"/>
          <w:sz w:val="24"/>
        </w:rPr>
        <w:t>95</w:t>
      </w:r>
      <w:r w:rsidR="00477096">
        <w:rPr>
          <w:rFonts w:ascii="Arial" w:hAnsi="Arial"/>
          <w:b/>
          <w:kern w:val="28"/>
          <w:sz w:val="24"/>
        </w:rPr>
        <w:tab/>
        <w:t>R</w:t>
      </w:r>
      <w:r w:rsidR="007F7C57">
        <w:rPr>
          <w:rFonts w:ascii="Arial" w:hAnsi="Arial"/>
          <w:b/>
          <w:kern w:val="28"/>
          <w:sz w:val="24"/>
        </w:rPr>
        <w:t>1-18</w:t>
      </w:r>
      <w:r w:rsidR="00E63CDA">
        <w:rPr>
          <w:rFonts w:ascii="Arial" w:hAnsi="Arial"/>
          <w:b/>
          <w:kern w:val="28"/>
          <w:sz w:val="24"/>
        </w:rPr>
        <w:t>13357</w:t>
      </w:r>
    </w:p>
    <w:p w:rsidR="00682930" w:rsidRDefault="00637F94" w:rsidP="00F74F67">
      <w:pPr>
        <w:pStyle w:val="Title"/>
        <w:spacing w:after="120"/>
        <w:rPr>
          <w:lang w:val="en-GB"/>
        </w:rPr>
      </w:pPr>
      <w:r>
        <w:rPr>
          <w:lang w:val="en-GB"/>
        </w:rPr>
        <w:t>Spokane, China, November 12</w:t>
      </w:r>
      <w:r w:rsidR="00682930" w:rsidRPr="00682930">
        <w:rPr>
          <w:vertAlign w:val="superscript"/>
          <w:lang w:val="en-GB"/>
        </w:rPr>
        <w:t>th</w:t>
      </w:r>
      <w:r>
        <w:rPr>
          <w:lang w:val="en-GB"/>
        </w:rPr>
        <w:t xml:space="preserve"> – 16</w:t>
      </w:r>
      <w:r w:rsidR="00682930" w:rsidRPr="00682930">
        <w:rPr>
          <w:vertAlign w:val="superscript"/>
          <w:lang w:val="en-GB"/>
        </w:rPr>
        <w:t>th</w:t>
      </w:r>
      <w:r w:rsidR="00682930">
        <w:rPr>
          <w:lang w:val="en-GB"/>
        </w:rPr>
        <w:t>, 2018</w:t>
      </w:r>
    </w:p>
    <w:p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r w:rsidR="00AD2EF9" w:rsidRPr="00AD2EF9">
        <w:rPr>
          <w:lang w:val="en-GB"/>
        </w:rPr>
        <w:t>Type II CSI overhead reduction</w:t>
      </w:r>
      <w:bookmarkStart w:id="0" w:name="_GoBack"/>
      <w:bookmarkEnd w:id="0"/>
    </w:p>
    <w:p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rsidR="002D010B" w:rsidRDefault="002D010B" w:rsidP="00F74F67">
      <w:pPr>
        <w:pStyle w:val="Title"/>
        <w:tabs>
          <w:tab w:val="clear" w:pos="3780"/>
          <w:tab w:val="left" w:pos="1890"/>
          <w:tab w:val="left" w:pos="4109"/>
          <w:tab w:val="left" w:pos="5850"/>
        </w:tabs>
        <w:spacing w:line="240" w:lineRule="exact"/>
        <w:ind w:left="1890" w:hanging="1890"/>
        <w:rPr>
          <w:lang w:val="en-GB"/>
        </w:rPr>
      </w:pPr>
    </w:p>
    <w:p w:rsidR="002D010B" w:rsidRPr="002D010B" w:rsidRDefault="002D010B" w:rsidP="002D010B">
      <w:pPr>
        <w:keepNext/>
        <w:numPr>
          <w:ilvl w:val="0"/>
          <w:numId w:val="2"/>
        </w:numPr>
        <w:spacing w:before="360" w:line="240" w:lineRule="atLeast"/>
        <w:ind w:right="-360"/>
        <w:jc w:val="left"/>
        <w:outlineLvl w:val="0"/>
        <w:rPr>
          <w:rFonts w:ascii="Arial" w:hAnsi="Arial"/>
          <w:b/>
          <w:kern w:val="28"/>
          <w:sz w:val="24"/>
          <w:lang w:val="en-GB"/>
        </w:rPr>
      </w:pPr>
      <w:r w:rsidRPr="002D010B">
        <w:rPr>
          <w:rFonts w:ascii="Arial" w:hAnsi="Arial"/>
          <w:b/>
          <w:kern w:val="28"/>
          <w:sz w:val="24"/>
          <w:lang w:val="en-GB"/>
        </w:rPr>
        <w:t>Introduction</w:t>
      </w:r>
    </w:p>
    <w:p w:rsidR="00350C68" w:rsidRDefault="00350C68" w:rsidP="002D010B">
      <w:pPr>
        <w:snapToGrid w:val="0"/>
        <w:spacing w:before="120" w:afterLines="50" w:after="120" w:line="240" w:lineRule="auto"/>
        <w:rPr>
          <w:rFonts w:eastAsia="Microsoft YaHei"/>
        </w:rPr>
      </w:pPr>
      <w:r>
        <w:rPr>
          <w:rFonts w:eastAsia="Microsoft YaHei"/>
        </w:rPr>
        <w:t>The work plan for Rel. 16 NR MIMO agreed at RAN1#94 specified a timeline for work on MU-MIMO.  According to the timeline, the evaluation methodology will be finalized at RAN1#94bis with propos</w:t>
      </w:r>
      <w:r w:rsidR="00C1159E">
        <w:rPr>
          <w:rFonts w:eastAsia="Microsoft YaHei"/>
        </w:rPr>
        <w:t>a</w:t>
      </w:r>
      <w:r>
        <w:rPr>
          <w:rFonts w:eastAsia="Microsoft YaHei"/>
        </w:rPr>
        <w:t>ls</w:t>
      </w:r>
      <w:r w:rsidR="003F4882">
        <w:rPr>
          <w:rFonts w:eastAsia="Microsoft YaHei"/>
        </w:rPr>
        <w:t xml:space="preserve"> for Type II overhead reduction to be submitted by companies in RAN1#95</w:t>
      </w:r>
      <w:r w:rsidR="00BA4C27">
        <w:rPr>
          <w:rFonts w:eastAsia="Microsoft YaHei"/>
        </w:rPr>
        <w:t xml:space="preserve"> </w:t>
      </w:r>
      <w:r w:rsidR="00BA4C27">
        <w:rPr>
          <w:rFonts w:eastAsia="Microsoft YaHei"/>
        </w:rPr>
        <w:fldChar w:fldCharType="begin"/>
      </w:r>
      <w:r w:rsidR="00BA4C27">
        <w:rPr>
          <w:rFonts w:eastAsia="Microsoft YaHei"/>
        </w:rPr>
        <w:instrText xml:space="preserve"> REF _Ref528845975 \r \h </w:instrText>
      </w:r>
      <w:r w:rsidR="00BA4C27">
        <w:rPr>
          <w:rFonts w:eastAsia="Microsoft YaHei"/>
        </w:rPr>
      </w:r>
      <w:r w:rsidR="00BA4C27">
        <w:rPr>
          <w:rFonts w:eastAsia="Microsoft YaHei"/>
        </w:rPr>
        <w:fldChar w:fldCharType="separate"/>
      </w:r>
      <w:r w:rsidR="007A19B9">
        <w:rPr>
          <w:rFonts w:eastAsia="Microsoft YaHei"/>
        </w:rPr>
        <w:t>[1]</w:t>
      </w:r>
      <w:r w:rsidR="00BA4C27">
        <w:rPr>
          <w:rFonts w:eastAsia="Microsoft YaHei"/>
        </w:rPr>
        <w:fldChar w:fldCharType="end"/>
      </w:r>
      <w:r w:rsidR="003F4882">
        <w:rPr>
          <w:rFonts w:eastAsia="Microsoft YaHei"/>
        </w:rPr>
        <w:t>.  This contribution presents our proposal for Type II feedback reduction including a description of the scheme and simulat</w:t>
      </w:r>
      <w:r w:rsidR="00C1159E">
        <w:rPr>
          <w:rFonts w:eastAsia="Microsoft YaHei"/>
        </w:rPr>
        <w:t>i</w:t>
      </w:r>
      <w:r w:rsidR="003F4882">
        <w:rPr>
          <w:rFonts w:eastAsia="Microsoft YaHei"/>
        </w:rPr>
        <w:t>on results.</w:t>
      </w:r>
    </w:p>
    <w:p w:rsidR="002D010B" w:rsidRPr="002D010B" w:rsidRDefault="002D010B" w:rsidP="002D010B">
      <w:pPr>
        <w:keepNext/>
        <w:numPr>
          <w:ilvl w:val="0"/>
          <w:numId w:val="2"/>
        </w:numPr>
        <w:spacing w:before="240" w:after="0" w:line="240" w:lineRule="atLeast"/>
        <w:ind w:right="-360"/>
        <w:jc w:val="left"/>
        <w:outlineLvl w:val="0"/>
        <w:rPr>
          <w:rFonts w:ascii="Arial" w:hAnsi="Arial"/>
          <w:b/>
          <w:kern w:val="2"/>
          <w:sz w:val="24"/>
        </w:rPr>
      </w:pPr>
      <w:bookmarkStart w:id="1" w:name="_Ref169246743"/>
      <w:r w:rsidRPr="002D010B">
        <w:rPr>
          <w:rFonts w:ascii="Arial" w:hAnsi="Arial"/>
          <w:b/>
          <w:kern w:val="2"/>
          <w:sz w:val="24"/>
        </w:rPr>
        <w:t xml:space="preserve">Type II overhead reduction </w:t>
      </w:r>
      <w:r w:rsidR="003F4882">
        <w:rPr>
          <w:rFonts w:ascii="Arial" w:hAnsi="Arial"/>
          <w:b/>
          <w:kern w:val="2"/>
          <w:sz w:val="24"/>
        </w:rPr>
        <w:t>overview</w:t>
      </w:r>
    </w:p>
    <w:p w:rsidR="002D010B" w:rsidRPr="002D010B" w:rsidRDefault="002D010B" w:rsidP="002D010B">
      <w:r w:rsidRPr="002D010B">
        <w:t>Type II CSI feedback provides the high precision channel state information needed for efficient MU-MIMO op</w:t>
      </w:r>
      <w:r w:rsidR="003F4882">
        <w:t xml:space="preserve">eration. The high precision </w:t>
      </w:r>
      <w:r w:rsidRPr="002D010B">
        <w:t xml:space="preserve">channel state information however comes at the cost </w:t>
      </w:r>
      <w:r w:rsidR="003F4882">
        <w:t xml:space="preserve">of </w:t>
      </w:r>
      <w:r w:rsidRPr="002D010B">
        <w:t>high feedback overhead, on the order of two to five hundred bits for one and two layers transmission respectively.  The majority of type II feedback overhead consists of sub-band amplitude and phase coefficients as opposed to wideband amplitudes and beam selection indication.  Therefore techniques implemented and proposed for reducing Type II overhead have focused on reduction in sub-band feedback.</w:t>
      </w:r>
    </w:p>
    <w:p w:rsidR="002D010B" w:rsidRPr="002D010B" w:rsidRDefault="002D010B" w:rsidP="002D010B">
      <w:pPr>
        <w:spacing w:before="120"/>
        <w:rPr>
          <w:b/>
        </w:rPr>
      </w:pPr>
      <w:r w:rsidRPr="002D010B">
        <w:rPr>
          <w:b/>
        </w:rPr>
        <w:t>NR Release 15</w:t>
      </w:r>
    </w:p>
    <w:p w:rsidR="002D010B" w:rsidRPr="002D010B" w:rsidRDefault="002D010B" w:rsidP="002D010B">
      <w:r w:rsidRPr="002D010B">
        <w:t>In NR Release 15, the particular sub-bands for which sub-band precoding information is fed back is configurable by the CSI report band configuration mask. Depending on the expected uplink load, sub-band reporting can for example be decimated in the frequency domain, leaving the gNB to determine the sub-band precoding information for those sub-bands without feedback.  Due to uplink traffic variations as well as the inherent variation in Type II CSI overhead due to dynamic rank reporting, Release 15 also implemented a partial CSI omission mechanism by which up to every other reported sub-band could be omitted if their inclusion would cause the UCI code rate to exceed a configured code rate.</w:t>
      </w:r>
    </w:p>
    <w:p w:rsidR="002D010B" w:rsidRPr="002D010B" w:rsidRDefault="002D010B" w:rsidP="002D010B">
      <w:pPr>
        <w:spacing w:before="120"/>
        <w:rPr>
          <w:b/>
        </w:rPr>
      </w:pPr>
      <w:r w:rsidRPr="002D010B">
        <w:rPr>
          <w:b/>
        </w:rPr>
        <w:t>Other proposed techniques</w:t>
      </w:r>
    </w:p>
    <w:p w:rsidR="002D010B" w:rsidRPr="002D010B" w:rsidRDefault="002D010B" w:rsidP="002D010B">
      <w:r w:rsidRPr="002D010B">
        <w:t>Other techniques to reduce Type II overhead were also proposed in Release 15. These</w:t>
      </w:r>
      <w:r w:rsidR="003F4882">
        <w:t xml:space="preserve"> </w:t>
      </w:r>
      <w:r w:rsidRPr="002D010B">
        <w:t xml:space="preserve">include differential reporting </w:t>
      </w:r>
      <w:r w:rsidRPr="002D010B">
        <w:fldChar w:fldCharType="begin"/>
      </w:r>
      <w:r w:rsidRPr="002D010B">
        <w:instrText xml:space="preserve"> REF _Ref525831658 \r \h </w:instrText>
      </w:r>
      <w:r w:rsidRPr="002D010B">
        <w:fldChar w:fldCharType="separate"/>
      </w:r>
      <w:r w:rsidR="007A19B9">
        <w:t>[8]</w:t>
      </w:r>
      <w:r w:rsidRPr="002D010B">
        <w:fldChar w:fldCharType="end"/>
      </w:r>
      <w:r w:rsidRPr="002D010B">
        <w:t>, CSI omission of up to 3 out of 4 contiguous sub-bands</w:t>
      </w:r>
      <w:r w:rsidR="00EF4E3F">
        <w:t xml:space="preserve"> </w:t>
      </w:r>
      <w:r w:rsidR="00EF4E3F">
        <w:fldChar w:fldCharType="begin"/>
      </w:r>
      <w:r w:rsidR="00EF4E3F">
        <w:instrText xml:space="preserve"> REF _Ref528942248 \r \h </w:instrText>
      </w:r>
      <w:r w:rsidR="00EF4E3F">
        <w:fldChar w:fldCharType="separate"/>
      </w:r>
      <w:r w:rsidR="00EF4E3F">
        <w:t>[10]</w:t>
      </w:r>
      <w:r w:rsidR="00EF4E3F">
        <w:fldChar w:fldCharType="end"/>
      </w:r>
      <w:r w:rsidR="00EF4E3F">
        <w:t>, a</w:t>
      </w:r>
      <w:r w:rsidRPr="002D010B">
        <w:t>nd a group of techniques which feed</w:t>
      </w:r>
      <w:r w:rsidR="006948CE">
        <w:t xml:space="preserve"> </w:t>
      </w:r>
      <w:r w:rsidRPr="002D010B">
        <w:t xml:space="preserve">back time-domain representation of the beams’ channels instead of frequency domain sub-band coefficients </w:t>
      </w:r>
      <w:r w:rsidRPr="002D010B">
        <w:fldChar w:fldCharType="begin"/>
      </w:r>
      <w:r w:rsidRPr="002D010B">
        <w:instrText xml:space="preserve"> REF _Ref525763898 \r \h </w:instrText>
      </w:r>
      <w:r w:rsidRPr="002D010B">
        <w:fldChar w:fldCharType="separate"/>
      </w:r>
      <w:r w:rsidR="007A19B9">
        <w:t>[3]</w:t>
      </w:r>
      <w:r w:rsidRPr="002D010B">
        <w:fldChar w:fldCharType="end"/>
      </w:r>
      <w:r w:rsidRPr="002D010B">
        <w:t>-</w:t>
      </w:r>
      <w:r w:rsidRPr="002D010B">
        <w:fldChar w:fldCharType="begin"/>
      </w:r>
      <w:r w:rsidRPr="002D010B">
        <w:instrText xml:space="preserve"> REF _Ref525728783 \r \h </w:instrText>
      </w:r>
      <w:r w:rsidRPr="002D010B">
        <w:fldChar w:fldCharType="separate"/>
      </w:r>
      <w:r w:rsidR="007A19B9">
        <w:t>[5]</w:t>
      </w:r>
      <w:r w:rsidRPr="002D010B">
        <w:fldChar w:fldCharType="end"/>
      </w:r>
      <w:r w:rsidRPr="002D010B">
        <w:t xml:space="preserve">, </w:t>
      </w:r>
      <w:r w:rsidRPr="002D010B">
        <w:fldChar w:fldCharType="begin"/>
      </w:r>
      <w:r w:rsidRPr="002D010B">
        <w:instrText xml:space="preserve"> REF _Ref525832733 \r \h </w:instrText>
      </w:r>
      <w:r w:rsidRPr="002D010B">
        <w:fldChar w:fldCharType="separate"/>
      </w:r>
      <w:r w:rsidR="007A19B9">
        <w:t>[8]</w:t>
      </w:r>
      <w:r w:rsidRPr="002D010B">
        <w:fldChar w:fldCharType="end"/>
      </w:r>
      <w:r w:rsidRPr="002D010B">
        <w:t>-</w:t>
      </w:r>
      <w:r w:rsidRPr="002D010B">
        <w:fldChar w:fldCharType="begin"/>
      </w:r>
      <w:r w:rsidRPr="002D010B">
        <w:instrText xml:space="preserve"> REF _Ref525832756 \r \h </w:instrText>
      </w:r>
      <w:r w:rsidRPr="002D010B">
        <w:fldChar w:fldCharType="separate"/>
      </w:r>
      <w:r w:rsidR="007A19B9">
        <w:t>[10]</w:t>
      </w:r>
      <w:r w:rsidRPr="002D010B">
        <w:fldChar w:fldCharType="end"/>
      </w:r>
      <w:r w:rsidRPr="002D010B">
        <w:t xml:space="preserve">.  These techniques will collectively be referred below as </w:t>
      </w:r>
      <w:r w:rsidRPr="002D010B">
        <w:rPr>
          <w:i/>
        </w:rPr>
        <w:t>sub-band precoding compression</w:t>
      </w:r>
      <w:r w:rsidRPr="002D010B">
        <w:t xml:space="preserve"> techniques.</w:t>
      </w:r>
    </w:p>
    <w:p w:rsidR="002D010B" w:rsidRPr="002D010B" w:rsidRDefault="002D010B" w:rsidP="002D010B">
      <w:pPr>
        <w:keepNext/>
        <w:numPr>
          <w:ilvl w:val="1"/>
          <w:numId w:val="2"/>
        </w:numPr>
        <w:spacing w:before="120"/>
        <w:jc w:val="left"/>
        <w:outlineLvl w:val="1"/>
        <w:rPr>
          <w:rFonts w:ascii="Arial" w:hAnsi="Arial"/>
          <w:b/>
          <w:sz w:val="24"/>
        </w:rPr>
      </w:pPr>
      <w:bookmarkStart w:id="2" w:name="_Ref525808950"/>
      <w:r w:rsidRPr="002D010B">
        <w:rPr>
          <w:rFonts w:ascii="Arial" w:hAnsi="Arial"/>
          <w:b/>
          <w:sz w:val="24"/>
        </w:rPr>
        <w:t>Sub-band precoding compression</w:t>
      </w:r>
      <w:bookmarkEnd w:id="2"/>
    </w:p>
    <w:p w:rsidR="002D010B" w:rsidRPr="002D010B" w:rsidRDefault="002D010B" w:rsidP="002D010B">
      <w:r w:rsidRPr="002D010B">
        <w:t xml:space="preserve">Sub-band precoding compression techniques takes advantage of the frequency domain correlation of a beam’s sub-band phases which results from a dominant tap in the time domain. For example, if a beam’s channel consists of single tap in the time domain, then the frequency domain channel will have constant amplitude and linear phase with slope proportional to the tap’s delay.  If the beams’ channels each consist of a single delay, it would be sufficient for the UE to feedback only the corresponding taps’ amplitude and phase coefficients to obtain frequency domain precoding vectors with PRB level granularity. More generally however a beam’s channel may exhibit intra-beam delay spread which causes non-linear phase in the </w:t>
      </w:r>
      <w:r w:rsidRPr="002D010B">
        <w:lastRenderedPageBreak/>
        <w:t xml:space="preserve">frequency domain and consequentially a reduction in frequency correlation.  This is illustrated in </w:t>
      </w:r>
      <w:r w:rsidRPr="009D0860">
        <w:fldChar w:fldCharType="begin"/>
      </w:r>
      <w:r w:rsidRPr="00FA1B01">
        <w:instrText xml:space="preserve"> REF _Ref525910419 \h </w:instrText>
      </w:r>
      <w:r w:rsidR="006948CE" w:rsidRPr="00FA1B01">
        <w:instrText xml:space="preserve"> \* MERGEFORMAT </w:instrText>
      </w:r>
      <w:r w:rsidRPr="009D0860">
        <w:fldChar w:fldCharType="separate"/>
      </w:r>
      <w:r w:rsidR="007A19B9" w:rsidRPr="00FA1B01">
        <w:rPr>
          <w:bCs/>
        </w:rPr>
        <w:t>Figure</w:t>
      </w:r>
      <w:r w:rsidR="007A19B9" w:rsidRPr="00FA1B01">
        <w:rPr>
          <w:b/>
          <w:bCs/>
        </w:rPr>
        <w:t xml:space="preserve"> </w:t>
      </w:r>
      <w:r w:rsidR="007A19B9" w:rsidRPr="00FA1B01">
        <w:rPr>
          <w:bCs/>
          <w:noProof/>
        </w:rPr>
        <w:t>1</w:t>
      </w:r>
      <w:r w:rsidRPr="009D0860">
        <w:fldChar w:fldCharType="end"/>
      </w:r>
      <w:r w:rsidRPr="002D010B">
        <w:t xml:space="preserve"> and</w:t>
      </w:r>
      <w:r w:rsidRPr="00FA1B01">
        <w:rPr>
          <w:b/>
        </w:rPr>
        <w:t xml:space="preserve"> </w:t>
      </w:r>
      <w:r w:rsidRPr="009D0860">
        <w:fldChar w:fldCharType="begin"/>
      </w:r>
      <w:r w:rsidRPr="00FA1B01">
        <w:instrText xml:space="preserve"> REF _Ref525910428 \h </w:instrText>
      </w:r>
      <w:r w:rsidR="006948CE" w:rsidRPr="00FA1B01">
        <w:instrText xml:space="preserve"> \* MERGEFORMAT </w:instrText>
      </w:r>
      <w:r w:rsidRPr="009D0860">
        <w:fldChar w:fldCharType="separate"/>
      </w:r>
      <w:r w:rsidR="007A19B9" w:rsidRPr="00FA1B01">
        <w:rPr>
          <w:bCs/>
        </w:rPr>
        <w:t xml:space="preserve">Figure </w:t>
      </w:r>
      <w:r w:rsidR="007A19B9" w:rsidRPr="00FA1B01">
        <w:rPr>
          <w:bCs/>
          <w:noProof/>
        </w:rPr>
        <w:t>2</w:t>
      </w:r>
      <w:r w:rsidRPr="009D0860">
        <w:fldChar w:fldCharType="end"/>
      </w:r>
      <w:r w:rsidRPr="002D010B">
        <w:t xml:space="preserve"> where in each figure time domain magnitudes and frequency domain phases are plotted for UEs exhibiting a dominant delay, (a), (c), and intra-beam delay spread, (b), (d).</w:t>
      </w:r>
    </w:p>
    <w:p w:rsidR="002D010B" w:rsidRPr="002D010B" w:rsidRDefault="002D010B" w:rsidP="002D010B">
      <w:pPr>
        <w:keepNext/>
        <w:jc w:val="center"/>
      </w:pPr>
      <w:r w:rsidRPr="002D010B">
        <w:rPr>
          <w:noProof/>
        </w:rPr>
        <w:drawing>
          <wp:inline distT="0" distB="0" distL="0" distR="0" wp14:anchorId="5BA7B18C" wp14:editId="4B533913">
            <wp:extent cx="5495544" cy="410565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s_Subplot1.emf"/>
                    <pic:cNvPicPr/>
                  </pic:nvPicPr>
                  <pic:blipFill>
                    <a:blip r:embed="rId8">
                      <a:extLst>
                        <a:ext uri="{28A0092B-C50C-407E-A947-70E740481C1C}">
                          <a14:useLocalDpi xmlns:a14="http://schemas.microsoft.com/office/drawing/2010/main" val="0"/>
                        </a:ext>
                      </a:extLst>
                    </a:blip>
                    <a:stretch>
                      <a:fillRect/>
                    </a:stretch>
                  </pic:blipFill>
                  <pic:spPr>
                    <a:xfrm>
                      <a:off x="0" y="0"/>
                      <a:ext cx="5495544" cy="4105656"/>
                    </a:xfrm>
                    <a:prstGeom prst="rect">
                      <a:avLst/>
                    </a:prstGeom>
                  </pic:spPr>
                </pic:pic>
              </a:graphicData>
            </a:graphic>
          </wp:inline>
        </w:drawing>
      </w:r>
    </w:p>
    <w:p w:rsidR="002D010B" w:rsidRPr="002D010B" w:rsidRDefault="002D010B" w:rsidP="002D010B">
      <w:pPr>
        <w:spacing w:after="120" w:line="240" w:lineRule="atLeast"/>
        <w:jc w:val="center"/>
        <w:rPr>
          <w:rFonts w:ascii="Arial" w:hAnsi="Arial"/>
          <w:b/>
          <w:bCs/>
          <w:sz w:val="18"/>
        </w:rPr>
      </w:pPr>
      <w:bookmarkStart w:id="3" w:name="_Ref525910419"/>
      <w:r w:rsidRPr="002D010B">
        <w:rPr>
          <w:rFonts w:ascii="Arial" w:hAnsi="Arial"/>
          <w:b/>
          <w:bCs/>
          <w:sz w:val="18"/>
        </w:rPr>
        <w:t xml:space="preserve">Figure </w:t>
      </w:r>
      <w:r w:rsidRPr="002D010B">
        <w:rPr>
          <w:rFonts w:ascii="Arial" w:hAnsi="Arial"/>
          <w:b/>
          <w:bCs/>
          <w:noProof/>
          <w:sz w:val="18"/>
        </w:rPr>
        <w:fldChar w:fldCharType="begin"/>
      </w:r>
      <w:r w:rsidRPr="002D010B">
        <w:rPr>
          <w:rFonts w:ascii="Arial" w:hAnsi="Arial"/>
          <w:b/>
          <w:bCs/>
          <w:noProof/>
          <w:sz w:val="18"/>
        </w:rPr>
        <w:instrText xml:space="preserve"> SEQ Figure \* ARABIC </w:instrText>
      </w:r>
      <w:r w:rsidRPr="002D010B">
        <w:rPr>
          <w:rFonts w:ascii="Arial" w:hAnsi="Arial"/>
          <w:b/>
          <w:bCs/>
          <w:noProof/>
          <w:sz w:val="18"/>
        </w:rPr>
        <w:fldChar w:fldCharType="separate"/>
      </w:r>
      <w:r w:rsidR="00481E9E">
        <w:rPr>
          <w:rFonts w:ascii="Arial" w:hAnsi="Arial"/>
          <w:b/>
          <w:bCs/>
          <w:noProof/>
          <w:sz w:val="18"/>
        </w:rPr>
        <w:t>1</w:t>
      </w:r>
      <w:r w:rsidRPr="002D010B">
        <w:rPr>
          <w:rFonts w:ascii="Arial" w:hAnsi="Arial"/>
          <w:b/>
          <w:bCs/>
          <w:noProof/>
          <w:sz w:val="18"/>
        </w:rPr>
        <w:fldChar w:fldCharType="end"/>
      </w:r>
      <w:bookmarkEnd w:id="3"/>
      <w:r w:rsidRPr="002D010B">
        <w:rPr>
          <w:rFonts w:ascii="Arial" w:hAnsi="Arial"/>
          <w:b/>
          <w:bCs/>
          <w:sz w:val="18"/>
        </w:rPr>
        <w:t>: Time and frequency representations of channels with low, (a),(c) and high (b),(d) intra-beam delay spread.</w:t>
      </w:r>
    </w:p>
    <w:p w:rsidR="002D010B" w:rsidRPr="002D010B" w:rsidRDefault="002D010B" w:rsidP="002D010B">
      <w:pPr>
        <w:keepNext/>
        <w:jc w:val="center"/>
      </w:pPr>
      <w:r w:rsidRPr="002D010B">
        <w:rPr>
          <w:noProof/>
        </w:rPr>
        <w:lastRenderedPageBreak/>
        <w:drawing>
          <wp:inline distT="0" distB="0" distL="0" distR="0" wp14:anchorId="52C17959" wp14:editId="6359374D">
            <wp:extent cx="5495544" cy="41056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Es_Subplot2.emf"/>
                    <pic:cNvPicPr/>
                  </pic:nvPicPr>
                  <pic:blipFill>
                    <a:blip r:embed="rId9">
                      <a:extLst>
                        <a:ext uri="{28A0092B-C50C-407E-A947-70E740481C1C}">
                          <a14:useLocalDpi xmlns:a14="http://schemas.microsoft.com/office/drawing/2010/main" val="0"/>
                        </a:ext>
                      </a:extLst>
                    </a:blip>
                    <a:stretch>
                      <a:fillRect/>
                    </a:stretch>
                  </pic:blipFill>
                  <pic:spPr>
                    <a:xfrm>
                      <a:off x="0" y="0"/>
                      <a:ext cx="5495544" cy="4105656"/>
                    </a:xfrm>
                    <a:prstGeom prst="rect">
                      <a:avLst/>
                    </a:prstGeom>
                  </pic:spPr>
                </pic:pic>
              </a:graphicData>
            </a:graphic>
          </wp:inline>
        </w:drawing>
      </w:r>
    </w:p>
    <w:p w:rsidR="002D010B" w:rsidRPr="002D010B" w:rsidRDefault="002D010B" w:rsidP="002D010B">
      <w:pPr>
        <w:spacing w:after="120" w:line="240" w:lineRule="atLeast"/>
        <w:jc w:val="center"/>
        <w:rPr>
          <w:rFonts w:ascii="Arial" w:hAnsi="Arial"/>
          <w:b/>
          <w:bCs/>
          <w:sz w:val="18"/>
        </w:rPr>
      </w:pPr>
      <w:bookmarkStart w:id="4" w:name="_Ref525910428"/>
      <w:r w:rsidRPr="002D010B">
        <w:rPr>
          <w:rFonts w:ascii="Arial" w:hAnsi="Arial"/>
          <w:b/>
          <w:bCs/>
          <w:sz w:val="18"/>
        </w:rPr>
        <w:t xml:space="preserve">Figure </w:t>
      </w:r>
      <w:r w:rsidRPr="002D010B">
        <w:rPr>
          <w:rFonts w:ascii="Arial" w:hAnsi="Arial"/>
          <w:b/>
          <w:bCs/>
          <w:noProof/>
          <w:sz w:val="18"/>
        </w:rPr>
        <w:fldChar w:fldCharType="begin"/>
      </w:r>
      <w:r w:rsidRPr="002D010B">
        <w:rPr>
          <w:rFonts w:ascii="Arial" w:hAnsi="Arial"/>
          <w:b/>
          <w:bCs/>
          <w:noProof/>
          <w:sz w:val="18"/>
        </w:rPr>
        <w:instrText xml:space="preserve"> SEQ Figure \* ARABIC </w:instrText>
      </w:r>
      <w:r w:rsidRPr="002D010B">
        <w:rPr>
          <w:rFonts w:ascii="Arial" w:hAnsi="Arial"/>
          <w:b/>
          <w:bCs/>
          <w:noProof/>
          <w:sz w:val="18"/>
        </w:rPr>
        <w:fldChar w:fldCharType="separate"/>
      </w:r>
      <w:r w:rsidR="00481E9E">
        <w:rPr>
          <w:rFonts w:ascii="Arial" w:hAnsi="Arial"/>
          <w:b/>
          <w:bCs/>
          <w:noProof/>
          <w:sz w:val="18"/>
        </w:rPr>
        <w:t>2</w:t>
      </w:r>
      <w:r w:rsidRPr="002D010B">
        <w:rPr>
          <w:rFonts w:ascii="Arial" w:hAnsi="Arial"/>
          <w:b/>
          <w:bCs/>
          <w:noProof/>
          <w:sz w:val="18"/>
        </w:rPr>
        <w:fldChar w:fldCharType="end"/>
      </w:r>
      <w:bookmarkEnd w:id="4"/>
      <w:r w:rsidRPr="002D010B">
        <w:rPr>
          <w:rFonts w:ascii="Arial" w:hAnsi="Arial"/>
          <w:b/>
          <w:bCs/>
          <w:sz w:val="18"/>
        </w:rPr>
        <w:t>: Time and frequency representations of channels with low, (a),(c) and high (b),(d) intra-beam delay spread.</w:t>
      </w:r>
    </w:p>
    <w:p w:rsidR="002D010B" w:rsidRPr="002D010B" w:rsidRDefault="002D010B" w:rsidP="002D010B">
      <w:r w:rsidRPr="002D010B">
        <w:t xml:space="preserve">Sub-band precoding compression schemes forgo feeding back a sub-band level frequency domain representation of the beams’ channels and instead </w:t>
      </w:r>
      <w:r w:rsidR="006948CE" w:rsidRPr="002D010B">
        <w:t>feed</w:t>
      </w:r>
      <w:r w:rsidR="006948CE">
        <w:t xml:space="preserve"> </w:t>
      </w:r>
      <w:r w:rsidR="006948CE" w:rsidRPr="002D010B">
        <w:t>back</w:t>
      </w:r>
      <w:r w:rsidRPr="002D010B">
        <w:t xml:space="preserve"> a time domain representation, including, for example, the location of a set of delays and their corresponding time-domain coefficients.  If the set of delays is small enough, a reduction in feedback overhead compared to sub-band level precoding can be achieved.  </w:t>
      </w:r>
    </w:p>
    <w:p w:rsidR="007250EB" w:rsidRDefault="007250EB" w:rsidP="002D010B"/>
    <w:p w:rsidR="0072770B" w:rsidRDefault="007250EB" w:rsidP="0072770B">
      <w:pPr>
        <w:keepNext/>
        <w:numPr>
          <w:ilvl w:val="1"/>
          <w:numId w:val="2"/>
        </w:numPr>
        <w:spacing w:before="120"/>
        <w:jc w:val="left"/>
        <w:outlineLvl w:val="1"/>
        <w:rPr>
          <w:rFonts w:ascii="Arial" w:hAnsi="Arial"/>
          <w:b/>
          <w:sz w:val="24"/>
        </w:rPr>
      </w:pPr>
      <w:bookmarkStart w:id="5" w:name="_Ref528936015"/>
      <w:r>
        <w:rPr>
          <w:rFonts w:ascii="Arial" w:hAnsi="Arial"/>
          <w:b/>
          <w:sz w:val="24"/>
        </w:rPr>
        <w:t>Type II overhead reduction proposal</w:t>
      </w:r>
      <w:bookmarkEnd w:id="5"/>
    </w:p>
    <w:p w:rsidR="002D010B" w:rsidRPr="002D010B" w:rsidRDefault="00E63CDA" w:rsidP="002D010B">
      <w:r>
        <w:t>A</w:t>
      </w:r>
      <w:r w:rsidR="0072770B" w:rsidRPr="0072770B">
        <w:t xml:space="preserve"> previous contribution</w:t>
      </w:r>
      <w:r>
        <w:t xml:space="preserve"> of ours described a </w:t>
      </w:r>
      <w:r w:rsidR="00136B37">
        <w:t>p</w:t>
      </w:r>
      <w:r w:rsidR="0072770B" w:rsidRPr="0072770B">
        <w:t>re</w:t>
      </w:r>
      <w:r w:rsidR="0072770B">
        <w:t>coding compression scheme based on transforming each beam</w:t>
      </w:r>
      <w:r w:rsidR="00042A56">
        <w:t>’</w:t>
      </w:r>
      <w:r w:rsidR="0072770B">
        <w:t>s frequency-domain precoding vectors to the time domain and selecting a subset of the time-domain components which would then be fed back the gNB</w:t>
      </w:r>
      <w:r>
        <w:t xml:space="preserve"> </w:t>
      </w:r>
      <w:r>
        <w:fldChar w:fldCharType="begin"/>
      </w:r>
      <w:r>
        <w:instrText xml:space="preserve"> REF _Ref528926147 \r \h </w:instrText>
      </w:r>
      <w:r>
        <w:fldChar w:fldCharType="separate"/>
      </w:r>
      <w:r>
        <w:t>[11]</w:t>
      </w:r>
      <w:r>
        <w:fldChar w:fldCharType="end"/>
      </w:r>
      <w:r w:rsidR="0072770B">
        <w:t>.  The gNB would then perform the inverse transformation to the frequency domain to determine the set of 2</w:t>
      </w:r>
      <w:r w:rsidR="0072770B">
        <w:rPr>
          <w:i/>
        </w:rPr>
        <w:t xml:space="preserve">L </w:t>
      </w:r>
      <w:r w:rsidR="0072770B">
        <w:t xml:space="preserve"> precoding vectors. If, as in</w:t>
      </w:r>
      <w:r w:rsidR="002D010B" w:rsidRPr="002D010B">
        <w:t xml:space="preserve"> conventional Type II feedback, the beam selection matrix </w:t>
      </w:r>
      <w:r w:rsidR="0072770B">
        <w:t>is denoted</w:t>
      </w:r>
    </w:p>
    <w:p w:rsidR="0072770B" w:rsidRDefault="002D010B" w:rsidP="002D010B">
      <w:pPr>
        <w:tabs>
          <w:tab w:val="center" w:pos="4320"/>
          <w:tab w:val="right" w:pos="8640"/>
        </w:tabs>
        <w:spacing w:before="180" w:after="180" w:line="240" w:lineRule="auto"/>
      </w:pPr>
      <w:r w:rsidRPr="002D010B">
        <w:tab/>
      </w:r>
      <w:r w:rsidRPr="002D010B">
        <w:rPr>
          <w:position w:val="-42"/>
        </w:rPr>
        <w:object w:dxaOrig="11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pt;height:32.05pt" o:ole="">
            <v:imagedata r:id="rId10" o:title=""/>
          </v:shape>
          <o:OLEObject Type="Embed" ProgID="Equation.DSMT4" ShapeID="_x0000_i1025" DrawAspect="Content" ObjectID="_1602701061" r:id="rId11"/>
        </w:object>
      </w:r>
      <w:r w:rsidRPr="002D010B">
        <w:t xml:space="preserve"> </w:t>
      </w:r>
      <w:r w:rsidR="0072770B">
        <w:t xml:space="preserve">, </w:t>
      </w:r>
    </w:p>
    <w:p w:rsidR="0072770B" w:rsidRDefault="0072770B" w:rsidP="002D010B">
      <w:pPr>
        <w:tabs>
          <w:tab w:val="center" w:pos="4320"/>
          <w:tab w:val="right" w:pos="8640"/>
        </w:tabs>
        <w:spacing w:before="180" w:after="180" w:line="240" w:lineRule="auto"/>
      </w:pPr>
      <w:r>
        <w:t xml:space="preserve">then the resulting </w:t>
      </w:r>
      <w:r w:rsidR="00FD0B13" w:rsidRPr="00FD0B13">
        <w:rPr>
          <w:position w:val="-12"/>
        </w:rPr>
        <w:object w:dxaOrig="1219" w:dyaOrig="360">
          <v:shape id="_x0000_i1026" type="#_x0000_t75" style="width:61.2pt;height:18.3pt" o:ole="">
            <v:imagedata r:id="rId12" o:title=""/>
          </v:shape>
          <o:OLEObject Type="Embed" ProgID="Equation.DSMT4" ShapeID="_x0000_i1026" DrawAspect="Content" ObjectID="_1602701062" r:id="rId13"/>
        </w:object>
      </w:r>
      <w:r w:rsidR="00FD0B13">
        <w:t xml:space="preserve"> precoding matrix </w:t>
      </w:r>
      <w:r>
        <w:t>for a layer can be expressed</w:t>
      </w:r>
    </w:p>
    <w:p w:rsidR="0072770B" w:rsidRDefault="0072770B" w:rsidP="0072770B">
      <w:pPr>
        <w:pStyle w:val="MTDisplayEquation"/>
      </w:pPr>
      <w:r>
        <w:tab/>
      </w:r>
      <w:r w:rsidR="00FD0B13" w:rsidRPr="0072770B">
        <w:rPr>
          <w:position w:val="-10"/>
        </w:rPr>
        <w:object w:dxaOrig="1140" w:dyaOrig="340">
          <v:shape id="_x0000_i1027" type="#_x0000_t75" style="width:57pt;height:17.05pt" o:ole="">
            <v:imagedata r:id="rId14" o:title=""/>
          </v:shape>
          <o:OLEObject Type="Embed" ProgID="Equation.DSMT4" ShapeID="_x0000_i1027" DrawAspect="Content" ObjectID="_1602701063" r:id="rId15"/>
        </w:object>
      </w:r>
      <w:r w:rsidR="00042A56">
        <w:t>,</w:t>
      </w:r>
      <w:r>
        <w:t xml:space="preserve"> </w:t>
      </w:r>
    </w:p>
    <w:p w:rsidR="00FD0B13" w:rsidRDefault="00FD0B13" w:rsidP="008D4DCB">
      <w:pPr>
        <w:pStyle w:val="MTDisplayEquation"/>
        <w:jc w:val="left"/>
      </w:pPr>
      <w:r>
        <w:lastRenderedPageBreak/>
        <w:t xml:space="preserve">where </w:t>
      </w:r>
      <w:r w:rsidRPr="00FD0B13">
        <w:rPr>
          <w:position w:val="-6"/>
        </w:rPr>
        <w:object w:dxaOrig="260" w:dyaOrig="279">
          <v:shape id="_x0000_i1028" type="#_x0000_t75" style="width:13.3pt;height:13.75pt" o:ole="">
            <v:imagedata r:id="rId16" o:title=""/>
          </v:shape>
          <o:OLEObject Type="Embed" ProgID="Equation.DSMT4" ShapeID="_x0000_i1028" DrawAspect="Content" ObjectID="_1602701064" r:id="rId17"/>
        </w:object>
      </w:r>
      <w:r>
        <w:t xml:space="preserve"> is the size </w:t>
      </w:r>
      <w:r w:rsidRPr="00FD0B13">
        <w:rPr>
          <w:position w:val="-12"/>
        </w:rPr>
        <w:object w:dxaOrig="400" w:dyaOrig="360">
          <v:shape id="_x0000_i1029" type="#_x0000_t75" style="width:19.55pt;height:18.3pt" o:ole="">
            <v:imagedata r:id="rId18" o:title=""/>
          </v:shape>
          <o:OLEObject Type="Embed" ProgID="Equation.DSMT4" ShapeID="_x0000_i1029" DrawAspect="Content" ObjectID="_1602701065" r:id="rId19"/>
        </w:object>
      </w:r>
      <w:r>
        <w:t xml:space="preserve"> DFT matrix and </w:t>
      </w:r>
      <w:r w:rsidRPr="00FD0B13">
        <w:rPr>
          <w:position w:val="-16"/>
        </w:rPr>
        <w:object w:dxaOrig="2580" w:dyaOrig="440">
          <v:shape id="_x0000_i1030" type="#_x0000_t75" style="width:129pt;height:22.05pt" o:ole="">
            <v:imagedata r:id="rId20" o:title=""/>
          </v:shape>
          <o:OLEObject Type="Embed" ProgID="Equation.DSMT4" ShapeID="_x0000_i1030" DrawAspect="Content" ObjectID="_1602701066" r:id="rId21"/>
        </w:object>
      </w:r>
      <w:r w:rsidR="008D4DCB">
        <w:t xml:space="preserve">  is comprised of 2</w:t>
      </w:r>
      <w:r w:rsidR="0038079D">
        <w:rPr>
          <w:i/>
        </w:rPr>
        <w:t xml:space="preserve">L </w:t>
      </w:r>
      <w:r w:rsidR="0038079D">
        <w:t xml:space="preserve">time-domain coefficient vectors of </w:t>
      </w:r>
      <w:r w:rsidR="008D4DCB">
        <w:t xml:space="preserve">length </w:t>
      </w:r>
      <w:r w:rsidR="008D4DCB" w:rsidRPr="008D4DCB">
        <w:rPr>
          <w:position w:val="-12"/>
        </w:rPr>
        <w:object w:dxaOrig="400" w:dyaOrig="360">
          <v:shape id="_x0000_i1031" type="#_x0000_t75" style="width:19.55pt;height:18.3pt" o:ole="">
            <v:imagedata r:id="rId22" o:title=""/>
          </v:shape>
          <o:OLEObject Type="Embed" ProgID="Equation.DSMT4" ShapeID="_x0000_i1031" DrawAspect="Content" ObjectID="_1602701067" r:id="rId23"/>
        </w:object>
      </w:r>
      <w:r w:rsidR="008D4DCB">
        <w:t>.</w:t>
      </w:r>
      <w:r>
        <w:t xml:space="preserve"> </w:t>
      </w:r>
    </w:p>
    <w:p w:rsidR="00AD3871" w:rsidRDefault="00F904CA" w:rsidP="008D4DCB">
      <w:pPr>
        <w:pStyle w:val="MTDisplayEquation"/>
        <w:jc w:val="left"/>
        <w:rPr>
          <w:b/>
        </w:rPr>
      </w:pPr>
      <w:r w:rsidRPr="00F904CA">
        <w:rPr>
          <w:b/>
        </w:rPr>
        <w:t xml:space="preserve">Determining </w:t>
      </w:r>
      <w:r>
        <w:rPr>
          <w:b/>
        </w:rPr>
        <w:t xml:space="preserve">the </w:t>
      </w:r>
      <w:r w:rsidRPr="00F904CA">
        <w:rPr>
          <w:b/>
        </w:rPr>
        <w:t xml:space="preserve">non-zero entries of </w:t>
      </w:r>
      <w:r w:rsidRPr="00F904CA">
        <w:rPr>
          <w:b/>
          <w:position w:val="-12"/>
        </w:rPr>
        <w:object w:dxaOrig="380" w:dyaOrig="380">
          <v:shape id="_x0000_i1032" type="#_x0000_t75" style="width:18.75pt;height:18.75pt" o:ole="">
            <v:imagedata r:id="rId24" o:title=""/>
          </v:shape>
          <o:OLEObject Type="Embed" ProgID="Equation.DSMT4" ShapeID="_x0000_i1032" DrawAspect="Content" ObjectID="_1602701068" r:id="rId25"/>
        </w:object>
      </w:r>
    </w:p>
    <w:p w:rsidR="00F904CA" w:rsidRDefault="00F904CA" w:rsidP="008D4DCB">
      <w:pPr>
        <w:pStyle w:val="MTDisplayEquation"/>
        <w:jc w:val="left"/>
      </w:pPr>
      <w:r>
        <w:t xml:space="preserve">Feedback overhead reduction occurs when the UE feeds back an indication of non-zero subset of the coefficients in </w:t>
      </w:r>
      <w:r w:rsidRPr="00F904CA">
        <w:rPr>
          <w:b/>
          <w:position w:val="-12"/>
        </w:rPr>
        <w:object w:dxaOrig="380" w:dyaOrig="380">
          <v:shape id="_x0000_i1033" type="#_x0000_t75" style="width:18.75pt;height:18.75pt" o:ole="">
            <v:imagedata r:id="rId24" o:title=""/>
          </v:shape>
          <o:OLEObject Type="Embed" ProgID="Equation.DSMT4" ShapeID="_x0000_i1033" DrawAspect="Content" ObjectID="_1602701069" r:id="rId26"/>
        </w:object>
      </w:r>
      <w:r>
        <w:t>, e.g.</w:t>
      </w:r>
      <w:r w:rsidR="00042A56">
        <w:t>,</w:t>
      </w:r>
      <w:r>
        <w:t xml:space="preserve"> those coefficients with the largest magnitudes.  </w:t>
      </w:r>
      <w:r w:rsidR="00AB68BE">
        <w:t>The feedback overhead however also depends on how much quantization is used to represent these coefficients.  The following procedure for calculating the non-zero coefficients of  the columns of</w:t>
      </w:r>
      <w:r w:rsidR="00AB68BE">
        <w:rPr>
          <w:b/>
        </w:rPr>
        <w:t xml:space="preserve"> </w:t>
      </w:r>
      <w:r w:rsidR="00AB68BE" w:rsidRPr="00E14540">
        <w:rPr>
          <w:position w:val="-14"/>
        </w:rPr>
        <w:object w:dxaOrig="1800" w:dyaOrig="380">
          <v:shape id="_x0000_i1034" type="#_x0000_t75" style="width:90.3pt;height:18.75pt" o:ole="">
            <v:imagedata r:id="rId27" o:title=""/>
          </v:shape>
          <o:OLEObject Type="Embed" ProgID="Equation.DSMT4" ShapeID="_x0000_i1034" DrawAspect="Content" ObjectID="_1602701070" r:id="rId28"/>
        </w:object>
      </w:r>
      <w:r w:rsidR="00AB68BE">
        <w:t xml:space="preserve">in terms of the IDFT of the corresponding 2L sub-band precoding vectors, </w:t>
      </w:r>
      <w:r w:rsidR="00AB68BE" w:rsidRPr="00E14540">
        <w:rPr>
          <w:position w:val="-14"/>
        </w:rPr>
        <w:object w:dxaOrig="1800" w:dyaOrig="380">
          <v:shape id="_x0000_i1035" type="#_x0000_t75" style="width:90.3pt;height:18.75pt" o:ole="">
            <v:imagedata r:id="rId29" o:title=""/>
          </v:shape>
          <o:OLEObject Type="Embed" ProgID="Equation.DSMT4" ShapeID="_x0000_i1035" DrawAspect="Content" ObjectID="_1602701071" r:id="rId30"/>
        </w:object>
      </w:r>
      <w:r w:rsidR="00AB68BE">
        <w:t>,</w:t>
      </w:r>
      <w:r w:rsidR="00AB68BE">
        <w:rPr>
          <w:b/>
        </w:rPr>
        <w:t xml:space="preserve"> </w:t>
      </w:r>
      <w:r w:rsidR="00AB68BE">
        <w:t>gives significant reduction in feedback overhead while maintaining average user packet and cell edge throughput at or above that of the Type II codebook.</w:t>
      </w:r>
    </w:p>
    <w:p w:rsidR="00AB68BE" w:rsidRDefault="00F63BB2" w:rsidP="00F63BB2">
      <w:pPr>
        <w:pStyle w:val="MTDisplayEquation"/>
        <w:jc w:val="left"/>
      </w:pPr>
      <w:r>
        <w:t xml:space="preserve">1) </w:t>
      </w:r>
      <w:r w:rsidR="00136B37" w:rsidRPr="007B36BE">
        <w:rPr>
          <w:i/>
        </w:rPr>
        <w:t>Scaling by dominant beam</w:t>
      </w:r>
    </w:p>
    <w:p w:rsidR="00136B37" w:rsidRDefault="00481E9E" w:rsidP="00F63BB2">
      <w:pPr>
        <w:pStyle w:val="MTDisplayEquation"/>
        <w:jc w:val="left"/>
      </w:pPr>
      <w:r>
        <w:t xml:space="preserve">As described in </w:t>
      </w:r>
      <w:r>
        <w:fldChar w:fldCharType="begin"/>
      </w:r>
      <w:r>
        <w:instrText xml:space="preserve"> REF _Ref525763898 \r \h </w:instrText>
      </w:r>
      <w:r>
        <w:fldChar w:fldCharType="separate"/>
      </w:r>
      <w:r>
        <w:t>[3]</w:t>
      </w:r>
      <w:r>
        <w:fldChar w:fldCharType="end"/>
      </w:r>
      <w:r w:rsidR="00136B37">
        <w:t xml:space="preserve">, elements of each beam’s sub-band precoding vector can be scaled by that of the dominant beam on an RB by RB basis. The results is that the dominant beam’s frequency-domain vector is all 1’s and all other beams vectors </w:t>
      </w:r>
      <w:r w:rsidR="00042A56">
        <w:t xml:space="preserve">are </w:t>
      </w:r>
      <w:r w:rsidR="00136B37">
        <w:t>scaled accordingly. In the time domain the dominant beam’s sequence of tap</w:t>
      </w:r>
      <w:r w:rsidR="00042A56">
        <w:t>s</w:t>
      </w:r>
      <w:r w:rsidR="00136B37">
        <w:t xml:space="preserve"> is just a delta function.  Therefore it is not necessary to provide any feedback for the first beam. The gNB can simply assume </w:t>
      </w:r>
      <w:r w:rsidR="00136B37" w:rsidRPr="00E14540">
        <w:rPr>
          <w:position w:val="-14"/>
        </w:rPr>
        <w:object w:dxaOrig="1700" w:dyaOrig="440">
          <v:shape id="_x0000_i1036" type="#_x0000_t75" style="width:85.3pt;height:21.65pt" o:ole="">
            <v:imagedata r:id="rId31" o:title=""/>
          </v:shape>
          <o:OLEObject Type="Embed" ProgID="Equation.DSMT4" ShapeID="_x0000_i1036" DrawAspect="Content" ObjectID="_1602701072" r:id="rId32"/>
        </w:object>
      </w:r>
      <w:r w:rsidR="00136B37">
        <w:t>.</w:t>
      </w:r>
    </w:p>
    <w:p w:rsidR="007B36BE" w:rsidRPr="007B36BE" w:rsidRDefault="007B36BE" w:rsidP="00F63BB2">
      <w:pPr>
        <w:pStyle w:val="MTDisplayEquation"/>
        <w:jc w:val="left"/>
        <w:rPr>
          <w:b/>
          <w:i/>
        </w:rPr>
      </w:pPr>
      <w:r w:rsidRPr="007B36BE">
        <w:rPr>
          <w:b/>
          <w:i/>
        </w:rPr>
        <w:t>Observation 1: Scaling by a reference beam removes the need to feedback coefficient</w:t>
      </w:r>
      <w:r w:rsidR="00042A56">
        <w:rPr>
          <w:b/>
          <w:i/>
        </w:rPr>
        <w:t>s</w:t>
      </w:r>
      <w:r w:rsidRPr="007B36BE">
        <w:rPr>
          <w:b/>
          <w:i/>
        </w:rPr>
        <w:t xml:space="preserve"> for one out</w:t>
      </w:r>
      <w:r w:rsidR="00042A56">
        <w:rPr>
          <w:b/>
          <w:i/>
        </w:rPr>
        <w:t xml:space="preserve"> of</w:t>
      </w:r>
      <w:r w:rsidRPr="007B36BE">
        <w:rPr>
          <w:b/>
          <w:i/>
        </w:rPr>
        <w:t xml:space="preserve"> 2L beams.</w:t>
      </w:r>
    </w:p>
    <w:p w:rsidR="00F63BB2" w:rsidRDefault="00F63BB2" w:rsidP="00F63BB2">
      <w:pPr>
        <w:pStyle w:val="MTDisplayEquation"/>
        <w:jc w:val="left"/>
      </w:pPr>
      <w:r>
        <w:t xml:space="preserve">2) </w:t>
      </w:r>
      <w:r w:rsidRPr="00481E9E">
        <w:rPr>
          <w:i/>
        </w:rPr>
        <w:t>Window taps around a dominant tap</w:t>
      </w:r>
    </w:p>
    <w:p w:rsidR="00136B37" w:rsidRDefault="002D7A78" w:rsidP="00F63BB2">
      <w:pPr>
        <w:pStyle w:val="MTDisplayEquation"/>
        <w:jc w:val="left"/>
      </w:pPr>
      <w:r>
        <w:t>As shown</w:t>
      </w:r>
      <w:r w:rsidR="00481E9E">
        <w:t xml:space="preserve"> in </w:t>
      </w:r>
      <w:r w:rsidR="00481E9E">
        <w:fldChar w:fldCharType="begin"/>
      </w:r>
      <w:r w:rsidR="00481E9E">
        <w:instrText xml:space="preserve"> REF _Ref528926147 \r \h </w:instrText>
      </w:r>
      <w:r w:rsidR="00481E9E">
        <w:fldChar w:fldCharType="separate"/>
      </w:r>
      <w:r w:rsidR="00481E9E">
        <w:t>[11]</w:t>
      </w:r>
      <w:r w:rsidR="00481E9E">
        <w:fldChar w:fldCharType="end"/>
      </w:r>
      <w:r w:rsidR="00481E9E">
        <w:t xml:space="preserve"> </w:t>
      </w:r>
      <w:r>
        <w:t>a beam’s energy in the time domain are typically concentrated around a single dominant tap.  As discussed above, the energy is highly concentrated when the intra-beam delay spread is low and more spread out when the intra-beam delay spread is high. In either case most of a beam’s energy can be captured by</w:t>
      </w:r>
      <w:r w:rsidR="00F11A99">
        <w:t xml:space="preserve"> taps that lie within a window centered on the domina</w:t>
      </w:r>
      <w:r w:rsidR="00042A56">
        <w:t>n</w:t>
      </w:r>
      <w:r w:rsidR="00F11A99">
        <w:t xml:space="preserve">t path. The degree to which the “adjacent taps” which surround the dominant tap contribute to the reconstructed precoding vector’s energy depends on the strength of the beam’s dominant tap.  Therefore it may be useful to have different window widths for strong vs. weak beams.  Denoting </w:t>
      </w:r>
      <w:r w:rsidR="00F11A99" w:rsidRPr="00F11A99">
        <w:rPr>
          <w:position w:val="-12"/>
        </w:rPr>
        <w:object w:dxaOrig="240" w:dyaOrig="400">
          <v:shape id="_x0000_i1037" type="#_x0000_t75" style="width:12.05pt;height:19.55pt" o:ole="">
            <v:imagedata r:id="rId33" o:title=""/>
          </v:shape>
          <o:OLEObject Type="Embed" ProgID="Equation.DSMT4" ShapeID="_x0000_i1037" DrawAspect="Content" ObjectID="_1602701073" r:id="rId34"/>
        </w:object>
      </w:r>
      <w:r w:rsidR="00F11A99">
        <w:t xml:space="preserve">  as the tap index of dominant tap of beam </w:t>
      </w:r>
      <w:r w:rsidR="00F11A99">
        <w:rPr>
          <w:i/>
        </w:rPr>
        <w:t>l</w:t>
      </w:r>
      <w:r w:rsidR="00F11A99">
        <w:t xml:space="preserve">, </w:t>
      </w:r>
      <w:r w:rsidR="00F63BB2">
        <w:t xml:space="preserve">the time-domain coefficients for beam </w:t>
      </w:r>
      <w:r w:rsidR="00F63BB2">
        <w:rPr>
          <w:i/>
        </w:rPr>
        <w:t>l</w:t>
      </w:r>
      <w:r w:rsidR="00F63BB2">
        <w:t xml:space="preserve"> can are </w:t>
      </w:r>
    </w:p>
    <w:p w:rsidR="00F63BB2" w:rsidRDefault="00F63BB2" w:rsidP="00F63BB2">
      <w:pPr>
        <w:pStyle w:val="MTDisplayEquation"/>
      </w:pPr>
      <w:r>
        <w:tab/>
      </w:r>
      <w:r w:rsidRPr="00F63BB2">
        <w:rPr>
          <w:position w:val="-38"/>
        </w:rPr>
        <w:object w:dxaOrig="3560" w:dyaOrig="859">
          <v:shape id="_x0000_i1038" type="#_x0000_t75" style="width:178.15pt;height:42.85pt" o:ole="">
            <v:imagedata r:id="rId35" o:title=""/>
          </v:shape>
          <o:OLEObject Type="Embed" ProgID="Equation.DSMT4" ShapeID="_x0000_i1038" DrawAspect="Content" ObjectID="_1602701074" r:id="rId36"/>
        </w:object>
      </w:r>
      <w:r>
        <w:t xml:space="preserve"> </w:t>
      </w:r>
      <w:r w:rsidR="00042A56">
        <w:t xml:space="preserve">   ,</w:t>
      </w:r>
    </w:p>
    <w:p w:rsidR="00F11A99" w:rsidRDefault="00F63BB2" w:rsidP="000A308B">
      <w:pPr>
        <w:pStyle w:val="MTDisplayEquation"/>
        <w:jc w:val="left"/>
      </w:pPr>
      <w:r>
        <w:t xml:space="preserve">where </w:t>
      </w:r>
      <w:r w:rsidRPr="00F63BB2">
        <w:rPr>
          <w:position w:val="-10"/>
        </w:rPr>
        <w:object w:dxaOrig="220" w:dyaOrig="300">
          <v:shape id="_x0000_i1039" type="#_x0000_t75" style="width:11.25pt;height:15pt" o:ole="">
            <v:imagedata r:id="rId37" o:title=""/>
          </v:shape>
          <o:OLEObject Type="Embed" ProgID="Equation.DSMT4" ShapeID="_x0000_i1039" DrawAspect="Content" ObjectID="_1602701075" r:id="rId38"/>
        </w:object>
      </w:r>
      <w:r>
        <w:t xml:space="preserve"> is the possibly beam-dependent window size. For example if the beams are ordered based on the </w:t>
      </w:r>
      <w:r w:rsidR="0015559A">
        <w:t>magnit</w:t>
      </w:r>
      <w:r w:rsidR="00EF4E3F">
        <w:t xml:space="preserve">ude of their dominant taps only, </w:t>
      </w:r>
      <w:r w:rsidR="000A308B">
        <w:t>whose coefficients</w:t>
      </w:r>
      <w:r w:rsidR="00EF4E3F">
        <w:t xml:space="preserve"> are always fed back, </w:t>
      </w:r>
      <w:r w:rsidR="0015559A">
        <w:t xml:space="preserve"> then </w:t>
      </w:r>
      <w:r w:rsidR="00EF4E3F">
        <w:t>the set of 2</w:t>
      </w:r>
      <w:r w:rsidR="00EF4E3F">
        <w:rPr>
          <w:i/>
        </w:rPr>
        <w:t>L</w:t>
      </w:r>
      <w:r w:rsidR="00EF4E3F">
        <w:t xml:space="preserve">-1 beams (excluding the leading beam used for scaling) could be partitioned into a dominant set and a non-dominant set. A </w:t>
      </w:r>
      <w:r w:rsidR="0015559A">
        <w:t xml:space="preserve">window size of </w:t>
      </w:r>
      <w:r w:rsidR="00EF4E3F" w:rsidRPr="00E14540">
        <w:rPr>
          <w:position w:val="-10"/>
        </w:rPr>
        <w:object w:dxaOrig="700" w:dyaOrig="300">
          <v:shape id="_x0000_i1040" type="#_x0000_t75" style="width:34.95pt;height:15pt" o:ole="">
            <v:imagedata r:id="rId39" o:title=""/>
          </v:shape>
          <o:OLEObject Type="Embed" ProgID="Equation.DSMT4" ShapeID="_x0000_i1040" DrawAspect="Content" ObjectID="_1602701076" r:id="rId40"/>
        </w:object>
      </w:r>
      <w:r w:rsidR="0015559A">
        <w:t xml:space="preserve"> </w:t>
      </w:r>
      <w:r w:rsidR="00EF4E3F">
        <w:t xml:space="preserve">would apply for dominant beams and </w:t>
      </w:r>
      <w:r w:rsidR="00EF4E3F" w:rsidRPr="00E14540">
        <w:rPr>
          <w:position w:val="-10"/>
        </w:rPr>
        <w:object w:dxaOrig="940" w:dyaOrig="300">
          <v:shape id="_x0000_i1041" type="#_x0000_t75" style="width:47.05pt;height:15pt" o:ole="">
            <v:imagedata r:id="rId41" o:title=""/>
          </v:shape>
          <o:OLEObject Type="Embed" ProgID="Equation.DSMT4" ShapeID="_x0000_i1041" DrawAspect="Content" ObjectID="_1602701077" r:id="rId42"/>
        </w:object>
      </w:r>
      <w:r w:rsidR="00EF4E3F">
        <w:t>would apply to all other</w:t>
      </w:r>
      <w:r w:rsidR="000A308B">
        <w:t xml:space="preserve"> </w:t>
      </w:r>
      <w:r w:rsidR="00551B4D">
        <w:t xml:space="preserve">beams </w:t>
      </w:r>
      <w:r w:rsidR="0015559A">
        <w:t>(</w:t>
      </w:r>
      <w:r w:rsidR="00551B4D">
        <w:t xml:space="preserve">i.e. </w:t>
      </w:r>
      <w:r w:rsidR="0015559A">
        <w:t>no adjacent taps).</w:t>
      </w:r>
      <w:r w:rsidR="00C04344">
        <w:t xml:space="preserve">  Note that for weak beams it may be desirable to not include any adjacent taps at all, i.e. </w:t>
      </w:r>
      <w:r w:rsidR="003A62B1" w:rsidRPr="00C04344">
        <w:rPr>
          <w:position w:val="-12"/>
        </w:rPr>
        <w:object w:dxaOrig="820" w:dyaOrig="360">
          <v:shape id="_x0000_i1042" type="#_x0000_t75" style="width:40.8pt;height:18.3pt" o:ole="">
            <v:imagedata r:id="rId43" o:title=""/>
          </v:shape>
          <o:OLEObject Type="Embed" ProgID="Equation.DSMT4" ShapeID="_x0000_i1042" DrawAspect="Content" ObjectID="_1602701078" r:id="rId44"/>
        </w:object>
      </w:r>
      <w:r w:rsidR="00C04344">
        <w:t xml:space="preserve"> </w:t>
      </w:r>
    </w:p>
    <w:p w:rsidR="007B36BE" w:rsidRPr="007B36BE" w:rsidRDefault="007B36BE" w:rsidP="007B36BE">
      <w:pPr>
        <w:pStyle w:val="MTDisplayEquation"/>
        <w:jc w:val="left"/>
        <w:rPr>
          <w:b/>
          <w:i/>
        </w:rPr>
      </w:pPr>
      <w:r>
        <w:rPr>
          <w:b/>
          <w:i/>
        </w:rPr>
        <w:t>Observation 2</w:t>
      </w:r>
      <w:r w:rsidRPr="007B36BE">
        <w:rPr>
          <w:b/>
          <w:i/>
        </w:rPr>
        <w:t xml:space="preserve">: </w:t>
      </w:r>
      <w:r>
        <w:rPr>
          <w:b/>
          <w:i/>
        </w:rPr>
        <w:t xml:space="preserve">Most of the beam energy in the time domain can be captured by including taps within a window around a dominant tap. Varying the width of the window based on the beam’s dominant tap </w:t>
      </w:r>
      <w:r w:rsidR="000A308B">
        <w:rPr>
          <w:b/>
          <w:i/>
        </w:rPr>
        <w:t>magnitude</w:t>
      </w:r>
      <w:r>
        <w:rPr>
          <w:b/>
          <w:i/>
        </w:rPr>
        <w:t xml:space="preserve"> should be considered.</w:t>
      </w:r>
    </w:p>
    <w:p w:rsidR="007B36BE" w:rsidRPr="0015559A" w:rsidRDefault="007B36BE" w:rsidP="00F63BB2">
      <w:pPr>
        <w:pStyle w:val="MTDisplayEquation"/>
        <w:jc w:val="left"/>
        <w:rPr>
          <w:i/>
        </w:rPr>
      </w:pPr>
    </w:p>
    <w:p w:rsidR="00F63BB2" w:rsidRDefault="00F63BB2" w:rsidP="00F63BB2">
      <w:pPr>
        <w:pStyle w:val="MTDisplayEquation"/>
        <w:jc w:val="left"/>
      </w:pPr>
      <w:r>
        <w:lastRenderedPageBreak/>
        <w:t xml:space="preserve">3) </w:t>
      </w:r>
      <w:r w:rsidRPr="00481E9E">
        <w:rPr>
          <w:i/>
        </w:rPr>
        <w:t xml:space="preserve">Quantization of </w:t>
      </w:r>
      <w:r w:rsidR="0015559A" w:rsidRPr="00481E9E">
        <w:rPr>
          <w:i/>
        </w:rPr>
        <w:t xml:space="preserve">adjacent </w:t>
      </w:r>
      <w:r w:rsidRPr="00481E9E">
        <w:rPr>
          <w:i/>
        </w:rPr>
        <w:t>taps</w:t>
      </w:r>
    </w:p>
    <w:p w:rsidR="00F11A99" w:rsidRDefault="0015559A" w:rsidP="00F11A99">
      <w:pPr>
        <w:pStyle w:val="MTDisplayEquation"/>
        <w:jc w:val="left"/>
      </w:pPr>
      <w:r>
        <w:t xml:space="preserve">Due to the difference in </w:t>
      </w:r>
      <w:r w:rsidR="000A308B">
        <w:t>magnitude</w:t>
      </w:r>
      <w:r>
        <w:t xml:space="preserve"> between domi</w:t>
      </w:r>
      <w:r w:rsidR="000A308B">
        <w:t>n</w:t>
      </w:r>
      <w:r>
        <w:t xml:space="preserve">ant and adjacent taps, it is desirable to quantize adjacent taps relative to their dominant tap using a smaller number of bits than for the dominant tap.  </w:t>
      </w:r>
      <w:r w:rsidR="00C04344">
        <w:t>This is more useful for weaker beams than stronger however and therefore the number of bits of quantization for adjacent taps can depend on the relative order of the beam</w:t>
      </w:r>
      <w:r w:rsidR="000A308B">
        <w:t>’</w:t>
      </w:r>
      <w:r w:rsidR="00C04344">
        <w:t xml:space="preserve">s dominant taps as in 2). </w:t>
      </w:r>
    </w:p>
    <w:p w:rsidR="000F0998" w:rsidRPr="007B36BE" w:rsidRDefault="000F0998" w:rsidP="000F0998">
      <w:pPr>
        <w:pStyle w:val="MTDisplayEquation"/>
        <w:jc w:val="left"/>
        <w:rPr>
          <w:b/>
          <w:i/>
        </w:rPr>
      </w:pPr>
      <w:r>
        <w:rPr>
          <w:b/>
          <w:i/>
        </w:rPr>
        <w:t>Observation 3</w:t>
      </w:r>
      <w:r w:rsidRPr="007B36BE">
        <w:rPr>
          <w:b/>
          <w:i/>
        </w:rPr>
        <w:t xml:space="preserve">: </w:t>
      </w:r>
      <w:r>
        <w:rPr>
          <w:b/>
          <w:i/>
        </w:rPr>
        <w:t xml:space="preserve">Adjacent taps should be quantized relative to the beam’s dominant tap and varying the number of bits of quantization of adjacent taps with beam should be considered. </w:t>
      </w:r>
    </w:p>
    <w:p w:rsidR="00C04344" w:rsidRDefault="00C04344" w:rsidP="00481E9E">
      <w:pPr>
        <w:pStyle w:val="MTDisplayEquation"/>
        <w:keepNext/>
        <w:keepLines/>
        <w:jc w:val="left"/>
      </w:pPr>
      <w:r>
        <w:t xml:space="preserve">4) </w:t>
      </w:r>
      <w:r w:rsidRPr="00481E9E">
        <w:rPr>
          <w:i/>
        </w:rPr>
        <w:t>Reporting range of dominant tap indices</w:t>
      </w:r>
    </w:p>
    <w:p w:rsidR="00C04344" w:rsidRDefault="001402A2" w:rsidP="00F11A99">
      <w:pPr>
        <w:pStyle w:val="MTDisplayEquation"/>
        <w:jc w:val="left"/>
      </w:pPr>
      <w:r>
        <w:t xml:space="preserve">The UE should report tap indices </w:t>
      </w:r>
      <w:r w:rsidRPr="00E14540">
        <w:rPr>
          <w:position w:val="-10"/>
        </w:rPr>
        <w:object w:dxaOrig="220" w:dyaOrig="340">
          <v:shape id="_x0000_i1043" type="#_x0000_t75" style="width:11.25pt;height:17.05pt" o:ole="">
            <v:imagedata r:id="rId45" o:title=""/>
          </v:shape>
          <o:OLEObject Type="Embed" ProgID="Equation.DSMT4" ShapeID="_x0000_i1043" DrawAspect="Content" ObjectID="_1602701079" r:id="rId46"/>
        </w:object>
      </w:r>
      <w:r>
        <w:t xml:space="preserve"> within a configurable window of size</w:t>
      </w:r>
      <w:r w:rsidR="006B0A94">
        <w:t xml:space="preserve"> of some number of bits.</w:t>
      </w:r>
      <w:r>
        <w:t xml:space="preserve"> This allows deployments with low delay spread to benefit from the reduced overhead required to report dominant taps.</w:t>
      </w:r>
      <w:r w:rsidR="006B0A94">
        <w:t xml:space="preserve"> Due to scaling by the leading beam, the window need only be large enough to accommodate the delays relative to the delay of the leading beam.</w:t>
      </w:r>
    </w:p>
    <w:p w:rsidR="000F0998" w:rsidRPr="007B36BE" w:rsidRDefault="000F0998" w:rsidP="000F0998">
      <w:pPr>
        <w:pStyle w:val="MTDisplayEquation"/>
        <w:jc w:val="left"/>
        <w:rPr>
          <w:b/>
          <w:i/>
        </w:rPr>
      </w:pPr>
      <w:r>
        <w:rPr>
          <w:b/>
          <w:i/>
        </w:rPr>
        <w:t>Observation 4</w:t>
      </w:r>
      <w:r w:rsidRPr="007B36BE">
        <w:rPr>
          <w:b/>
          <w:i/>
        </w:rPr>
        <w:t xml:space="preserve">: </w:t>
      </w:r>
      <w:r>
        <w:rPr>
          <w:b/>
          <w:i/>
        </w:rPr>
        <w:t>Reporting of beams’ dominant tap indices should be restricted to a configurable window size to ease UE feedback requirements in deployments with low delay spread.</w:t>
      </w:r>
    </w:p>
    <w:p w:rsidR="002D010B" w:rsidRPr="002D010B" w:rsidRDefault="002D010B" w:rsidP="002D010B">
      <w:pPr>
        <w:keepNext/>
        <w:numPr>
          <w:ilvl w:val="1"/>
          <w:numId w:val="2"/>
        </w:numPr>
        <w:spacing w:before="120"/>
        <w:jc w:val="left"/>
        <w:outlineLvl w:val="1"/>
        <w:rPr>
          <w:rFonts w:ascii="Arial" w:hAnsi="Arial"/>
          <w:b/>
          <w:sz w:val="24"/>
        </w:rPr>
      </w:pPr>
      <w:r w:rsidRPr="002D010B">
        <w:rPr>
          <w:rFonts w:ascii="Arial" w:hAnsi="Arial"/>
          <w:b/>
          <w:sz w:val="24"/>
        </w:rPr>
        <w:t>System level simulation results</w:t>
      </w:r>
    </w:p>
    <w:p w:rsidR="00347CF3" w:rsidRDefault="002D010B" w:rsidP="002D010B">
      <w:pPr>
        <w:keepNext/>
        <w:jc w:val="left"/>
      </w:pPr>
      <w:r w:rsidRPr="002D010B">
        <w:t>System level simulatio</w:t>
      </w:r>
      <w:r w:rsidR="002040EE">
        <w:t>ns were performed to compare three examples of the</w:t>
      </w:r>
      <w:r w:rsidRPr="002D010B">
        <w:t xml:space="preserve"> compression scheme described in </w:t>
      </w:r>
      <w:r w:rsidR="002040EE">
        <w:t xml:space="preserve">Section </w:t>
      </w:r>
      <w:r w:rsidR="002040EE">
        <w:fldChar w:fldCharType="begin"/>
      </w:r>
      <w:r w:rsidR="002040EE">
        <w:instrText xml:space="preserve"> REF _Ref528936015 \r \h </w:instrText>
      </w:r>
      <w:r w:rsidR="002040EE">
        <w:fldChar w:fldCharType="separate"/>
      </w:r>
      <w:r w:rsidR="002040EE">
        <w:t>2.2</w:t>
      </w:r>
      <w:r w:rsidR="002040EE">
        <w:fldChar w:fldCharType="end"/>
      </w:r>
      <w:r w:rsidR="002040EE">
        <w:t xml:space="preserve"> </w:t>
      </w:r>
      <w:r w:rsidRPr="002D010B">
        <w:t xml:space="preserve">with Type II </w:t>
      </w:r>
      <w:r w:rsidR="002040EE">
        <w:t xml:space="preserve">rank 2 </w:t>
      </w:r>
      <w:r w:rsidRPr="002D010B">
        <w:t>feedback. The scenario was Dense Urban eMBB and the a</w:t>
      </w:r>
      <w:r w:rsidR="002040EE">
        <w:t>ntenna port configuration was 16 X 2</w:t>
      </w:r>
      <w:r w:rsidRPr="002D010B">
        <w:t xml:space="preserve">.  Additional simulation assumptions are given in the Appendix. </w:t>
      </w:r>
      <w:r w:rsidR="008A14FC">
        <w:t xml:space="preserve"> The quantization scheme including the number of bits used for quantization was not optimized. In all cases scalar quantization with an equal number of bits were used to quantize the amplitude and phase. Three</w:t>
      </w:r>
      <w:r w:rsidR="0070713C">
        <w:t xml:space="preserve"> configurations </w:t>
      </w:r>
      <w:r w:rsidR="008A14FC">
        <w:t>pl</w:t>
      </w:r>
      <w:r w:rsidR="00347CF3">
        <w:t>us Type II were simulated. The configurations</w:t>
      </w:r>
      <w:r w:rsidR="008A14FC">
        <w:t xml:space="preserve"> are </w:t>
      </w:r>
      <w:r w:rsidR="0070713C">
        <w:t xml:space="preserve">described in </w:t>
      </w:r>
      <w:r w:rsidR="008A14FC">
        <w:fldChar w:fldCharType="begin"/>
      </w:r>
      <w:r w:rsidR="008A14FC">
        <w:instrText xml:space="preserve"> REF _Ref528938214 \h </w:instrText>
      </w:r>
      <w:r w:rsidR="008A14FC">
        <w:fldChar w:fldCharType="separate"/>
      </w:r>
      <w:r w:rsidR="008A14FC">
        <w:t xml:space="preserve">Table </w:t>
      </w:r>
      <w:r w:rsidR="008A14FC">
        <w:rPr>
          <w:noProof/>
        </w:rPr>
        <w:t>1</w:t>
      </w:r>
      <w:r w:rsidR="008A14FC">
        <w:fldChar w:fldCharType="end"/>
      </w:r>
      <w:r w:rsidR="00347CF3">
        <w:t xml:space="preserve"> and t</w:t>
      </w:r>
      <w:r w:rsidR="00347CF3" w:rsidRPr="002D010B">
        <w:t xml:space="preserve">he </w:t>
      </w:r>
      <w:r w:rsidR="00347CF3">
        <w:t xml:space="preserve">average user packet throughput, </w:t>
      </w:r>
      <w:r w:rsidR="00347CF3" w:rsidRPr="002D010B">
        <w:t>cell edge spectral efficiencies</w:t>
      </w:r>
      <w:r w:rsidR="00347CF3">
        <w:t>, and overhead</w:t>
      </w:r>
      <w:r w:rsidR="00347CF3" w:rsidRPr="002D010B">
        <w:t xml:space="preserve"> </w:t>
      </w:r>
      <w:r w:rsidR="00347CF3">
        <w:t xml:space="preserve">relative to Release 15 Type II are shown in </w:t>
      </w:r>
      <w:r w:rsidR="00347CF3">
        <w:fldChar w:fldCharType="begin"/>
      </w:r>
      <w:r w:rsidR="00347CF3">
        <w:instrText xml:space="preserve"> REF _Ref528936149 \h </w:instrText>
      </w:r>
      <w:r w:rsidR="00347CF3">
        <w:fldChar w:fldCharType="separate"/>
      </w:r>
      <w:r w:rsidR="00347CF3">
        <w:t xml:space="preserve">Figure </w:t>
      </w:r>
      <w:r w:rsidR="00347CF3">
        <w:rPr>
          <w:noProof/>
        </w:rPr>
        <w:t>3</w:t>
      </w:r>
      <w:r w:rsidR="00347CF3">
        <w:fldChar w:fldCharType="end"/>
      </w:r>
      <w:r w:rsidR="00347CF3">
        <w:t xml:space="preserve"> for the three configurations.</w:t>
      </w:r>
    </w:p>
    <w:p w:rsidR="00B72369" w:rsidRDefault="008A14FC" w:rsidP="002D010B">
      <w:pPr>
        <w:keepNext/>
        <w:jc w:val="left"/>
      </w:pPr>
      <w:r>
        <w:t>Configuration A achieves the largest compression of 34% by only including adjacent taps for a single dominant beam (out 2</w:t>
      </w:r>
      <w:r>
        <w:rPr>
          <w:i/>
        </w:rPr>
        <w:t>L</w:t>
      </w:r>
      <w:r>
        <w:t xml:space="preserve">-1 beams excluding the leading beam used for normalization).  Cell edge and </w:t>
      </w:r>
      <w:r w:rsidR="00B72369">
        <w:t xml:space="preserve">average </w:t>
      </w:r>
      <w:r>
        <w:t xml:space="preserve">user packet throughput are within 2% of Type II. </w:t>
      </w:r>
    </w:p>
    <w:p w:rsidR="00B72369" w:rsidRDefault="008A14FC" w:rsidP="002D010B">
      <w:pPr>
        <w:keepNext/>
        <w:jc w:val="left"/>
      </w:pPr>
      <w:r>
        <w:t>Configuration B</w:t>
      </w:r>
      <w:r w:rsidR="00B72369">
        <w:t xml:space="preserve"> includes weighting coefficients for adjacent taps in non-dominant beams but uses only two bits </w:t>
      </w:r>
      <w:r w:rsidR="000A308B">
        <w:t xml:space="preserve">of </w:t>
      </w:r>
      <w:r w:rsidR="00B72369">
        <w:t xml:space="preserve">amplitude and two bits of phase.  All taps within a window of size three are included for the top two beams and quantized with the full four bits of amplitude and phase.  Cell edge and average user packet </w:t>
      </w:r>
      <w:r w:rsidR="000A308B">
        <w:t xml:space="preserve">throughput </w:t>
      </w:r>
      <w:r w:rsidR="00B72369">
        <w:t xml:space="preserve">are within 1% of Type II with compression of 48%.  </w:t>
      </w:r>
    </w:p>
    <w:p w:rsidR="0070713C" w:rsidRPr="008A14FC" w:rsidRDefault="00B72369" w:rsidP="002D010B">
      <w:pPr>
        <w:keepNext/>
        <w:jc w:val="left"/>
      </w:pPr>
      <w:r>
        <w:t xml:space="preserve">Configuration C is similar to Configuration B but with the top 4 beams’ windows being quantized with four bits of amplitude and four bits of phase with the remaining non-dominant beams using only two bits for </w:t>
      </w:r>
      <w:r>
        <w:lastRenderedPageBreak/>
        <w:t xml:space="preserve">amplitude and phase. This configuration gives the same performance as Type II but with a compression of 57%. </w:t>
      </w:r>
    </w:p>
    <w:p w:rsidR="0070713C" w:rsidRDefault="0070713C" w:rsidP="00FA1B01">
      <w:pPr>
        <w:pStyle w:val="Caption"/>
        <w:keepNext/>
        <w:keepLines/>
      </w:pPr>
      <w:bookmarkStart w:id="6" w:name="_Ref528938214"/>
      <w:bookmarkStart w:id="7" w:name="_Ref528938136"/>
      <w:r>
        <w:t xml:space="preserve">Table </w:t>
      </w:r>
      <w:r w:rsidR="002B3502">
        <w:rPr>
          <w:noProof/>
        </w:rPr>
        <w:fldChar w:fldCharType="begin"/>
      </w:r>
      <w:r w:rsidR="002B3502">
        <w:rPr>
          <w:noProof/>
        </w:rPr>
        <w:instrText xml:space="preserve"> SEQ Table \* ARABIC </w:instrText>
      </w:r>
      <w:r w:rsidR="002B3502">
        <w:rPr>
          <w:noProof/>
        </w:rPr>
        <w:fldChar w:fldCharType="separate"/>
      </w:r>
      <w:r>
        <w:rPr>
          <w:noProof/>
        </w:rPr>
        <w:t>1</w:t>
      </w:r>
      <w:r w:rsidR="002B3502">
        <w:rPr>
          <w:noProof/>
        </w:rPr>
        <w:fldChar w:fldCharType="end"/>
      </w:r>
      <w:bookmarkEnd w:id="6"/>
      <w:r>
        <w:t>: Configurations simulated</w:t>
      </w:r>
      <w:bookmarkEnd w:id="7"/>
    </w:p>
    <w:tbl>
      <w:tblPr>
        <w:tblW w:w="7525" w:type="dxa"/>
        <w:jc w:val="center"/>
        <w:tblLook w:val="04A0" w:firstRow="1" w:lastRow="0" w:firstColumn="1" w:lastColumn="0" w:noHBand="0" w:noVBand="1"/>
      </w:tblPr>
      <w:tblGrid>
        <w:gridCol w:w="1104"/>
        <w:gridCol w:w="4985"/>
        <w:gridCol w:w="506"/>
        <w:gridCol w:w="480"/>
        <w:gridCol w:w="450"/>
      </w:tblGrid>
      <w:tr w:rsidR="000004CB" w:rsidRPr="000004CB" w:rsidTr="007E0A1B">
        <w:trPr>
          <w:trHeight w:val="288"/>
          <w:jc w:val="center"/>
        </w:trPr>
        <w:tc>
          <w:tcPr>
            <w:tcW w:w="1104" w:type="dxa"/>
            <w:tcBorders>
              <w:top w:val="single" w:sz="4" w:space="0" w:color="auto"/>
              <w:left w:val="single" w:sz="4" w:space="0" w:color="auto"/>
              <w:bottom w:val="nil"/>
              <w:right w:val="nil"/>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 </w:t>
            </w:r>
          </w:p>
        </w:tc>
        <w:tc>
          <w:tcPr>
            <w:tcW w:w="4985" w:type="dxa"/>
            <w:tcBorders>
              <w:top w:val="single" w:sz="4" w:space="0" w:color="auto"/>
              <w:left w:val="nil"/>
              <w:bottom w:val="nil"/>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 </w:t>
            </w:r>
          </w:p>
        </w:tc>
        <w:tc>
          <w:tcPr>
            <w:tcW w:w="14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Configuration</w:t>
            </w:r>
          </w:p>
        </w:tc>
      </w:tr>
      <w:tr w:rsidR="000004CB" w:rsidRPr="000004CB" w:rsidTr="0070713C">
        <w:trPr>
          <w:trHeight w:val="288"/>
          <w:jc w:val="center"/>
        </w:trPr>
        <w:tc>
          <w:tcPr>
            <w:tcW w:w="1104" w:type="dxa"/>
            <w:tcBorders>
              <w:top w:val="nil"/>
              <w:left w:val="single" w:sz="4" w:space="0" w:color="auto"/>
              <w:bottom w:val="single" w:sz="4" w:space="0" w:color="auto"/>
              <w:right w:val="nil"/>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 </w:t>
            </w:r>
          </w:p>
        </w:tc>
        <w:tc>
          <w:tcPr>
            <w:tcW w:w="4985"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 </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A</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B</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C</w:t>
            </w:r>
          </w:p>
        </w:tc>
      </w:tr>
      <w:tr w:rsidR="000004CB" w:rsidRPr="000004CB" w:rsidTr="0070713C">
        <w:trPr>
          <w:trHeight w:val="305"/>
          <w:jc w:val="center"/>
        </w:trPr>
        <w:tc>
          <w:tcPr>
            <w:tcW w:w="6089" w:type="dxa"/>
            <w:gridSpan w:val="2"/>
            <w:tcBorders>
              <w:top w:val="nil"/>
              <w:left w:val="single" w:sz="4" w:space="0" w:color="auto"/>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Number of domina</w:t>
            </w:r>
            <w:r w:rsidR="000A308B">
              <w:rPr>
                <w:rFonts w:ascii="Calibri" w:eastAsia="Times New Roman" w:hAnsi="Calibri" w:cs="Calibri"/>
                <w:color w:val="000000"/>
                <w:sz w:val="18"/>
                <w:szCs w:val="22"/>
              </w:rPr>
              <w:t>n</w:t>
            </w:r>
            <w:r w:rsidRPr="000004CB">
              <w:rPr>
                <w:rFonts w:ascii="Calibri" w:eastAsia="Times New Roman" w:hAnsi="Calibri" w:cs="Calibri"/>
                <w:color w:val="000000"/>
                <w:sz w:val="18"/>
                <w:szCs w:val="22"/>
              </w:rPr>
              <w:t>t beams</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1</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2</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4</w:t>
            </w:r>
          </w:p>
        </w:tc>
      </w:tr>
      <w:tr w:rsidR="000004CB" w:rsidRPr="000004CB" w:rsidTr="0070713C">
        <w:trPr>
          <w:trHeight w:val="350"/>
          <w:jc w:val="center"/>
        </w:trPr>
        <w:tc>
          <w:tcPr>
            <w:tcW w:w="6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Quantization of dominant tap index (bits)</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2</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2</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2</w:t>
            </w:r>
          </w:p>
        </w:tc>
      </w:tr>
      <w:tr w:rsidR="000004CB" w:rsidRPr="000004CB" w:rsidTr="0070713C">
        <w:trPr>
          <w:trHeight w:val="260"/>
          <w:jc w:val="center"/>
        </w:trPr>
        <w:tc>
          <w:tcPr>
            <w:tcW w:w="1104" w:type="dxa"/>
            <w:vMerge w:val="restart"/>
            <w:tcBorders>
              <w:top w:val="nil"/>
              <w:left w:val="single" w:sz="4" w:space="0" w:color="auto"/>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Dominant beams</w:t>
            </w:r>
          </w:p>
        </w:tc>
        <w:tc>
          <w:tcPr>
            <w:tcW w:w="4985"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window size</w:t>
            </w:r>
            <w:r w:rsidR="0070713C">
              <w:rPr>
                <w:rFonts w:ascii="Calibri" w:eastAsia="Times New Roman" w:hAnsi="Calibri" w:cs="Calibri"/>
                <w:color w:val="000000"/>
                <w:sz w:val="18"/>
                <w:szCs w:val="22"/>
              </w:rPr>
              <w:t xml:space="preserve">, </w:t>
            </w:r>
            <w:r w:rsidR="0070713C" w:rsidRPr="008A14FC">
              <w:rPr>
                <w:rFonts w:ascii="Symbol" w:eastAsia="Times New Roman" w:hAnsi="Symbol" w:cs="Calibri"/>
                <w:i/>
                <w:color w:val="000000"/>
                <w:sz w:val="18"/>
                <w:szCs w:val="22"/>
              </w:rPr>
              <w:t></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3</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3</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3</w:t>
            </w:r>
          </w:p>
        </w:tc>
      </w:tr>
      <w:tr w:rsidR="000004CB" w:rsidRPr="000004CB" w:rsidTr="0070713C">
        <w:trPr>
          <w:trHeight w:val="440"/>
          <w:jc w:val="center"/>
        </w:trPr>
        <w:tc>
          <w:tcPr>
            <w:tcW w:w="1104" w:type="dxa"/>
            <w:vMerge/>
            <w:tcBorders>
              <w:top w:val="nil"/>
              <w:left w:val="single" w:sz="4" w:space="0" w:color="auto"/>
              <w:bottom w:val="single" w:sz="4" w:space="0" w:color="auto"/>
              <w:right w:val="single" w:sz="4" w:space="0" w:color="auto"/>
            </w:tcBorders>
            <w:vAlign w:val="center"/>
            <w:hideMark/>
          </w:tcPr>
          <w:p w:rsidR="000004CB" w:rsidRPr="000004CB" w:rsidRDefault="000004CB" w:rsidP="00FA1B01">
            <w:pPr>
              <w:keepNext/>
              <w:keepLines/>
              <w:spacing w:before="0" w:after="0" w:line="240" w:lineRule="auto"/>
              <w:jc w:val="left"/>
              <w:rPr>
                <w:rFonts w:ascii="Calibri" w:eastAsia="Times New Roman" w:hAnsi="Calibri" w:cs="Calibri"/>
                <w:color w:val="000000"/>
                <w:sz w:val="18"/>
                <w:szCs w:val="22"/>
              </w:rPr>
            </w:pPr>
          </w:p>
        </w:tc>
        <w:tc>
          <w:tcPr>
            <w:tcW w:w="4985" w:type="dxa"/>
            <w:tcBorders>
              <w:top w:val="nil"/>
              <w:left w:val="nil"/>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quantization for dominant tap, amp + phase (bits)</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r>
      <w:tr w:rsidR="000004CB" w:rsidRPr="000004CB" w:rsidTr="0070713C">
        <w:trPr>
          <w:trHeight w:val="440"/>
          <w:jc w:val="center"/>
        </w:trPr>
        <w:tc>
          <w:tcPr>
            <w:tcW w:w="1104" w:type="dxa"/>
            <w:vMerge/>
            <w:tcBorders>
              <w:top w:val="nil"/>
              <w:left w:val="single" w:sz="4" w:space="0" w:color="auto"/>
              <w:bottom w:val="single" w:sz="4" w:space="0" w:color="auto"/>
              <w:right w:val="single" w:sz="4" w:space="0" w:color="auto"/>
            </w:tcBorders>
            <w:vAlign w:val="center"/>
            <w:hideMark/>
          </w:tcPr>
          <w:p w:rsidR="000004CB" w:rsidRPr="000004CB" w:rsidRDefault="000004CB" w:rsidP="00FA1B01">
            <w:pPr>
              <w:keepNext/>
              <w:keepLines/>
              <w:spacing w:before="0" w:after="0" w:line="240" w:lineRule="auto"/>
              <w:jc w:val="left"/>
              <w:rPr>
                <w:rFonts w:ascii="Calibri" w:eastAsia="Times New Roman" w:hAnsi="Calibri" w:cs="Calibri"/>
                <w:color w:val="000000"/>
                <w:sz w:val="18"/>
                <w:szCs w:val="22"/>
              </w:rPr>
            </w:pPr>
          </w:p>
        </w:tc>
        <w:tc>
          <w:tcPr>
            <w:tcW w:w="4985" w:type="dxa"/>
            <w:tcBorders>
              <w:top w:val="nil"/>
              <w:left w:val="nil"/>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 xml:space="preserve">quantization for adjacent taps, amp+phase (bits) </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6</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r>
      <w:tr w:rsidR="000004CB" w:rsidRPr="000004CB" w:rsidTr="0070713C">
        <w:trPr>
          <w:trHeight w:val="276"/>
          <w:jc w:val="center"/>
        </w:trPr>
        <w:tc>
          <w:tcPr>
            <w:tcW w:w="1104" w:type="dxa"/>
            <w:vMerge w:val="restart"/>
            <w:tcBorders>
              <w:top w:val="nil"/>
              <w:left w:val="single" w:sz="4" w:space="0" w:color="auto"/>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Non-dominant beams</w:t>
            </w:r>
          </w:p>
        </w:tc>
        <w:tc>
          <w:tcPr>
            <w:tcW w:w="4985"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window size</w:t>
            </w:r>
            <w:r w:rsidR="008A14FC">
              <w:rPr>
                <w:rFonts w:ascii="Calibri" w:eastAsia="Times New Roman" w:hAnsi="Calibri" w:cs="Calibri"/>
                <w:color w:val="000000"/>
                <w:sz w:val="18"/>
                <w:szCs w:val="22"/>
              </w:rPr>
              <w:t xml:space="preserve">, </w:t>
            </w:r>
            <w:r w:rsidR="008A14FC" w:rsidRPr="008A14FC">
              <w:rPr>
                <w:rFonts w:ascii="Symbol" w:eastAsia="Times New Roman" w:hAnsi="Symbol" w:cs="Calibri"/>
                <w:i/>
                <w:color w:val="000000"/>
                <w:sz w:val="18"/>
                <w:szCs w:val="22"/>
              </w:rPr>
              <w:t></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1</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3</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3</w:t>
            </w:r>
          </w:p>
        </w:tc>
      </w:tr>
      <w:tr w:rsidR="000004CB" w:rsidRPr="000004CB" w:rsidTr="0070713C">
        <w:trPr>
          <w:trHeight w:val="332"/>
          <w:jc w:val="center"/>
        </w:trPr>
        <w:tc>
          <w:tcPr>
            <w:tcW w:w="1104" w:type="dxa"/>
            <w:vMerge/>
            <w:tcBorders>
              <w:top w:val="nil"/>
              <w:left w:val="single" w:sz="4" w:space="0" w:color="auto"/>
              <w:bottom w:val="single" w:sz="4" w:space="0" w:color="auto"/>
              <w:right w:val="single" w:sz="4" w:space="0" w:color="auto"/>
            </w:tcBorders>
            <w:vAlign w:val="center"/>
            <w:hideMark/>
          </w:tcPr>
          <w:p w:rsidR="000004CB" w:rsidRPr="000004CB" w:rsidRDefault="000004CB" w:rsidP="00FA1B01">
            <w:pPr>
              <w:keepNext/>
              <w:keepLines/>
              <w:spacing w:before="0" w:after="0" w:line="240" w:lineRule="auto"/>
              <w:jc w:val="left"/>
              <w:rPr>
                <w:rFonts w:ascii="Calibri" w:eastAsia="Times New Roman" w:hAnsi="Calibri" w:cs="Calibri"/>
                <w:color w:val="000000"/>
                <w:sz w:val="18"/>
                <w:szCs w:val="22"/>
              </w:rPr>
            </w:pPr>
          </w:p>
        </w:tc>
        <w:tc>
          <w:tcPr>
            <w:tcW w:w="4985" w:type="dxa"/>
            <w:tcBorders>
              <w:top w:val="nil"/>
              <w:left w:val="nil"/>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quantization for dominant tap, amp + phase (bits)</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8</w:t>
            </w:r>
          </w:p>
        </w:tc>
      </w:tr>
      <w:tr w:rsidR="000004CB" w:rsidRPr="000004CB" w:rsidTr="0070713C">
        <w:trPr>
          <w:trHeight w:val="440"/>
          <w:jc w:val="center"/>
        </w:trPr>
        <w:tc>
          <w:tcPr>
            <w:tcW w:w="1104" w:type="dxa"/>
            <w:vMerge/>
            <w:tcBorders>
              <w:top w:val="nil"/>
              <w:left w:val="single" w:sz="4" w:space="0" w:color="auto"/>
              <w:bottom w:val="single" w:sz="4" w:space="0" w:color="auto"/>
              <w:right w:val="single" w:sz="4" w:space="0" w:color="auto"/>
            </w:tcBorders>
            <w:vAlign w:val="center"/>
            <w:hideMark/>
          </w:tcPr>
          <w:p w:rsidR="000004CB" w:rsidRPr="000004CB" w:rsidRDefault="000004CB" w:rsidP="00FA1B01">
            <w:pPr>
              <w:keepNext/>
              <w:keepLines/>
              <w:spacing w:before="0" w:after="0" w:line="240" w:lineRule="auto"/>
              <w:jc w:val="left"/>
              <w:rPr>
                <w:rFonts w:ascii="Calibri" w:eastAsia="Times New Roman" w:hAnsi="Calibri" w:cs="Calibri"/>
                <w:color w:val="000000"/>
                <w:sz w:val="18"/>
                <w:szCs w:val="22"/>
              </w:rPr>
            </w:pPr>
          </w:p>
        </w:tc>
        <w:tc>
          <w:tcPr>
            <w:tcW w:w="4985" w:type="dxa"/>
            <w:tcBorders>
              <w:top w:val="nil"/>
              <w:left w:val="nil"/>
              <w:bottom w:val="single" w:sz="4" w:space="0" w:color="auto"/>
              <w:right w:val="single" w:sz="4" w:space="0" w:color="auto"/>
            </w:tcBorders>
            <w:shd w:val="clear" w:color="auto" w:fill="auto"/>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 xml:space="preserve">quantization for adjacent taps, amp+phase (bits) </w:t>
            </w:r>
          </w:p>
        </w:tc>
        <w:tc>
          <w:tcPr>
            <w:tcW w:w="506" w:type="dxa"/>
            <w:tcBorders>
              <w:top w:val="nil"/>
              <w:left w:val="nil"/>
              <w:bottom w:val="single" w:sz="4" w:space="0" w:color="auto"/>
              <w:right w:val="single" w:sz="4" w:space="0" w:color="auto"/>
            </w:tcBorders>
            <w:shd w:val="clear" w:color="auto" w:fill="auto"/>
            <w:noWrap/>
            <w:vAlign w:val="center"/>
            <w:hideMark/>
          </w:tcPr>
          <w:p w:rsidR="000004CB" w:rsidRPr="000004CB" w:rsidRDefault="000004CB" w:rsidP="00FA1B01">
            <w:pPr>
              <w:keepNext/>
              <w:keepLines/>
              <w:spacing w:before="0" w:after="0" w:line="240" w:lineRule="auto"/>
              <w:jc w:val="center"/>
              <w:rPr>
                <w:rFonts w:ascii="Calibri" w:eastAsia="Times New Roman" w:hAnsi="Calibri" w:cs="Calibri"/>
                <w:color w:val="000000"/>
                <w:sz w:val="18"/>
                <w:szCs w:val="22"/>
              </w:rPr>
            </w:pPr>
            <w:r w:rsidRPr="000004CB">
              <w:rPr>
                <w:rFonts w:ascii="Calibri" w:eastAsia="Times New Roman" w:hAnsi="Calibri" w:cs="Calibri"/>
                <w:color w:val="000000"/>
                <w:sz w:val="18"/>
                <w:szCs w:val="22"/>
              </w:rPr>
              <w:t>N/A</w:t>
            </w:r>
          </w:p>
        </w:tc>
        <w:tc>
          <w:tcPr>
            <w:tcW w:w="480" w:type="dxa"/>
            <w:tcBorders>
              <w:top w:val="nil"/>
              <w:left w:val="nil"/>
              <w:bottom w:val="single" w:sz="4" w:space="0" w:color="auto"/>
              <w:right w:val="single" w:sz="4" w:space="0" w:color="auto"/>
            </w:tcBorders>
            <w:shd w:val="clear" w:color="auto" w:fill="auto"/>
            <w:noWrap/>
            <w:vAlign w:val="center"/>
            <w:hideMark/>
          </w:tcPr>
          <w:p w:rsidR="000004CB" w:rsidRPr="000004CB" w:rsidRDefault="00B72369" w:rsidP="00FA1B01">
            <w:pPr>
              <w:keepNext/>
              <w:keepLines/>
              <w:spacing w:before="0" w:after="0" w:line="240" w:lineRule="auto"/>
              <w:jc w:val="center"/>
              <w:rPr>
                <w:rFonts w:ascii="Calibri" w:eastAsia="Times New Roman" w:hAnsi="Calibri" w:cs="Calibri"/>
                <w:color w:val="000000"/>
                <w:sz w:val="18"/>
                <w:szCs w:val="22"/>
              </w:rPr>
            </w:pPr>
            <w:r>
              <w:rPr>
                <w:rFonts w:ascii="Calibri" w:eastAsia="Times New Roman" w:hAnsi="Calibri" w:cs="Calibri"/>
                <w:color w:val="000000"/>
                <w:sz w:val="18"/>
                <w:szCs w:val="22"/>
              </w:rPr>
              <w:t>4</w:t>
            </w:r>
          </w:p>
        </w:tc>
        <w:tc>
          <w:tcPr>
            <w:tcW w:w="450" w:type="dxa"/>
            <w:tcBorders>
              <w:top w:val="nil"/>
              <w:left w:val="nil"/>
              <w:bottom w:val="single" w:sz="4" w:space="0" w:color="auto"/>
              <w:right w:val="single" w:sz="4" w:space="0" w:color="auto"/>
            </w:tcBorders>
            <w:shd w:val="clear" w:color="auto" w:fill="auto"/>
            <w:noWrap/>
            <w:vAlign w:val="center"/>
            <w:hideMark/>
          </w:tcPr>
          <w:p w:rsidR="000004CB" w:rsidRPr="000004CB" w:rsidRDefault="00B72369" w:rsidP="00FA1B01">
            <w:pPr>
              <w:keepNext/>
              <w:keepLines/>
              <w:spacing w:before="0" w:after="0" w:line="240" w:lineRule="auto"/>
              <w:jc w:val="center"/>
              <w:rPr>
                <w:rFonts w:ascii="Calibri" w:eastAsia="Times New Roman" w:hAnsi="Calibri" w:cs="Calibri"/>
                <w:color w:val="000000"/>
                <w:sz w:val="18"/>
                <w:szCs w:val="22"/>
              </w:rPr>
            </w:pPr>
            <w:r>
              <w:rPr>
                <w:rFonts w:ascii="Calibri" w:eastAsia="Times New Roman" w:hAnsi="Calibri" w:cs="Calibri"/>
                <w:color w:val="000000"/>
                <w:sz w:val="18"/>
                <w:szCs w:val="22"/>
              </w:rPr>
              <w:t>4</w:t>
            </w:r>
          </w:p>
        </w:tc>
      </w:tr>
    </w:tbl>
    <w:p w:rsidR="002040EE" w:rsidRDefault="002040EE" w:rsidP="002D010B">
      <w:pPr>
        <w:keepNext/>
        <w:jc w:val="left"/>
      </w:pPr>
    </w:p>
    <w:p w:rsidR="00481E9E" w:rsidRDefault="00347CF3" w:rsidP="00481E9E">
      <w:pPr>
        <w:keepNext/>
        <w:widowControl w:val="0"/>
        <w:jc w:val="left"/>
      </w:pPr>
      <w:r>
        <w:rPr>
          <w:noProof/>
        </w:rPr>
        <w:drawing>
          <wp:inline distT="0" distB="0" distL="0" distR="0" wp14:anchorId="7ADB8741" wp14:editId="52E0CDFC">
            <wp:extent cx="5486400" cy="277011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86400" cy="2770113"/>
                    </a:xfrm>
                    <a:prstGeom prst="rect">
                      <a:avLst/>
                    </a:prstGeom>
                    <a:noFill/>
                  </pic:spPr>
                </pic:pic>
              </a:graphicData>
            </a:graphic>
          </wp:inline>
        </w:drawing>
      </w:r>
    </w:p>
    <w:p w:rsidR="003243B5" w:rsidRDefault="00481E9E" w:rsidP="00481E9E">
      <w:pPr>
        <w:pStyle w:val="Caption"/>
      </w:pPr>
      <w:bookmarkStart w:id="8" w:name="_Ref528940042"/>
      <w:r>
        <w:t xml:space="preserve">Figure </w:t>
      </w:r>
      <w:r w:rsidR="002B3502">
        <w:rPr>
          <w:noProof/>
        </w:rPr>
        <w:fldChar w:fldCharType="begin"/>
      </w:r>
      <w:r w:rsidR="002B3502">
        <w:rPr>
          <w:noProof/>
        </w:rPr>
        <w:instrText xml:space="preserve"> SEQ Figure \* ARABIC </w:instrText>
      </w:r>
      <w:r w:rsidR="002B3502">
        <w:rPr>
          <w:noProof/>
        </w:rPr>
        <w:fldChar w:fldCharType="separate"/>
      </w:r>
      <w:r>
        <w:rPr>
          <w:noProof/>
        </w:rPr>
        <w:t>3</w:t>
      </w:r>
      <w:r w:rsidR="002B3502">
        <w:rPr>
          <w:noProof/>
        </w:rPr>
        <w:fldChar w:fldCharType="end"/>
      </w:r>
      <w:bookmarkEnd w:id="8"/>
      <w:r w:rsidR="00832D8A">
        <w:t xml:space="preserve">: Comparison of average cell edge, average user packet throughput, and overhead for the three configurations of </w:t>
      </w:r>
      <w:r w:rsidR="00832D8A">
        <w:fldChar w:fldCharType="begin"/>
      </w:r>
      <w:r w:rsidR="00832D8A">
        <w:instrText xml:space="preserve"> REF _Ref528938214 \h </w:instrText>
      </w:r>
      <w:r w:rsidR="00832D8A">
        <w:fldChar w:fldCharType="separate"/>
      </w:r>
      <w:r w:rsidR="00832D8A">
        <w:t xml:space="preserve">Table </w:t>
      </w:r>
      <w:r w:rsidR="00832D8A">
        <w:rPr>
          <w:noProof/>
        </w:rPr>
        <w:t>1</w:t>
      </w:r>
      <w:r w:rsidR="00832D8A">
        <w:fldChar w:fldCharType="end"/>
      </w:r>
    </w:p>
    <w:p w:rsidR="009F5945" w:rsidRDefault="009F5945" w:rsidP="003243B5">
      <w:pPr>
        <w:widowControl w:val="0"/>
        <w:jc w:val="left"/>
      </w:pPr>
      <w:r>
        <w:t xml:space="preserve">From </w:t>
      </w:r>
      <w:r>
        <w:fldChar w:fldCharType="begin"/>
      </w:r>
      <w:r>
        <w:instrText xml:space="preserve"> REF _Ref528940042 \h </w:instrText>
      </w:r>
      <w:r>
        <w:fldChar w:fldCharType="separate"/>
      </w:r>
      <w:r>
        <w:t xml:space="preserve">Figure </w:t>
      </w:r>
      <w:r>
        <w:rPr>
          <w:noProof/>
        </w:rPr>
        <w:t>3</w:t>
      </w:r>
      <w:r>
        <w:fldChar w:fldCharType="end"/>
      </w:r>
      <w:r>
        <w:t xml:space="preserve"> it can be observed that small changes to the window sizes and quantization of dominant vs. non-dominant beams can have a large impact on the relative overhead with only minor degradations in cell edge and user throughput, on the order of 1 to 2%.  </w:t>
      </w:r>
    </w:p>
    <w:p w:rsidR="002D010B" w:rsidRDefault="002D010B" w:rsidP="002D3A8F">
      <w:pPr>
        <w:widowControl w:val="0"/>
        <w:jc w:val="left"/>
      </w:pPr>
      <w:r w:rsidRPr="002D3A8F">
        <w:rPr>
          <w:b/>
          <w:i/>
        </w:rPr>
        <w:t>Observation</w:t>
      </w:r>
      <w:r w:rsidR="002D3A8F" w:rsidRPr="002D3A8F">
        <w:rPr>
          <w:b/>
          <w:i/>
        </w:rPr>
        <w:t xml:space="preserve"> 5</w:t>
      </w:r>
      <w:r w:rsidR="002D3A8F">
        <w:rPr>
          <w:b/>
          <w:i/>
        </w:rPr>
        <w:t>:</w:t>
      </w:r>
      <w:r w:rsidR="002D3A8F" w:rsidRPr="002D3A8F">
        <w:rPr>
          <w:b/>
          <w:i/>
        </w:rPr>
        <w:t xml:space="preserve"> </w:t>
      </w:r>
      <w:r w:rsidRPr="002D3A8F">
        <w:rPr>
          <w:b/>
          <w:i/>
        </w:rPr>
        <w:t xml:space="preserve"> </w:t>
      </w:r>
      <w:r w:rsidR="009F5945" w:rsidRPr="002D3A8F">
        <w:rPr>
          <w:b/>
          <w:i/>
        </w:rPr>
        <w:t>Time domain c</w:t>
      </w:r>
      <w:r w:rsidRPr="002D3A8F">
        <w:rPr>
          <w:b/>
          <w:i/>
        </w:rPr>
        <w:t>ompression can simultaneously improve performance and reduce feedback overhead compared to Type II feedback</w:t>
      </w:r>
      <w:r w:rsidRPr="002D010B">
        <w:t>.</w:t>
      </w:r>
    </w:p>
    <w:p w:rsidR="002D010B" w:rsidRPr="002D3A8F" w:rsidRDefault="002D3A8F" w:rsidP="002D3A8F">
      <w:pPr>
        <w:keepNext/>
        <w:contextualSpacing/>
        <w:jc w:val="left"/>
        <w:rPr>
          <w:b/>
          <w:i/>
        </w:rPr>
      </w:pPr>
      <w:r w:rsidRPr="002D3A8F">
        <w:rPr>
          <w:b/>
          <w:i/>
        </w:rPr>
        <w:lastRenderedPageBreak/>
        <w:t>Observation 6</w:t>
      </w:r>
      <w:r>
        <w:rPr>
          <w:b/>
          <w:i/>
        </w:rPr>
        <w:t xml:space="preserve">: </w:t>
      </w:r>
      <w:r w:rsidR="005218D1" w:rsidRPr="002D3A8F">
        <w:rPr>
          <w:b/>
          <w:i/>
        </w:rPr>
        <w:t xml:space="preserve">It is important to evaluate variations of </w:t>
      </w:r>
      <w:r w:rsidR="002D010B" w:rsidRPr="002D3A8F">
        <w:rPr>
          <w:b/>
          <w:i/>
        </w:rPr>
        <w:t xml:space="preserve">window size </w:t>
      </w:r>
      <w:r w:rsidR="009F5945" w:rsidRPr="002D3A8F">
        <w:rPr>
          <w:b/>
          <w:i/>
        </w:rPr>
        <w:t>and co</w:t>
      </w:r>
      <w:r w:rsidR="005218D1" w:rsidRPr="002D3A8F">
        <w:rPr>
          <w:b/>
          <w:i/>
        </w:rPr>
        <w:t>efficient quantization for dominant and non-dominant beams.</w:t>
      </w:r>
    </w:p>
    <w:p w:rsidR="002D010B" w:rsidRPr="002D010B" w:rsidRDefault="002D010B" w:rsidP="002D010B">
      <w:pPr>
        <w:keepNext/>
        <w:numPr>
          <w:ilvl w:val="0"/>
          <w:numId w:val="2"/>
        </w:numPr>
        <w:spacing w:before="240" w:after="0" w:line="240" w:lineRule="atLeast"/>
        <w:ind w:right="-360"/>
        <w:jc w:val="left"/>
        <w:outlineLvl w:val="0"/>
        <w:rPr>
          <w:rFonts w:ascii="Arial" w:hAnsi="Arial"/>
          <w:b/>
          <w:kern w:val="2"/>
          <w:sz w:val="24"/>
        </w:rPr>
      </w:pPr>
      <w:r w:rsidRPr="002D010B">
        <w:rPr>
          <w:rFonts w:ascii="Arial" w:hAnsi="Arial"/>
          <w:b/>
          <w:kern w:val="2"/>
          <w:sz w:val="24"/>
        </w:rPr>
        <w:t>Conclusions</w:t>
      </w:r>
    </w:p>
    <w:p w:rsidR="000F0998" w:rsidRDefault="00FB70BF" w:rsidP="002D010B">
      <w:r>
        <w:t xml:space="preserve">This contribution described a feedback compression scheme where frequency domain precoding vectors are transformed to the time domain. The scheme make uses of the sparsity property of wireless channels to feedback dominant tap coefficients and possibly adjacent taps.  Additional reductions in overhead can be achieved by varying the number of adjacent taps and possibly quantization based on the strength of </w:t>
      </w:r>
      <w:r w:rsidR="002D3A8F">
        <w:t>the corresponding beam.  The following observations were made:</w:t>
      </w:r>
    </w:p>
    <w:p w:rsidR="002D3A8F" w:rsidRDefault="002D3A8F" w:rsidP="002D3A8F">
      <w:pPr>
        <w:pStyle w:val="MTDisplayEquation"/>
        <w:jc w:val="left"/>
        <w:rPr>
          <w:b/>
          <w:i/>
        </w:rPr>
      </w:pPr>
      <w:r w:rsidRPr="007B36BE">
        <w:rPr>
          <w:b/>
          <w:i/>
        </w:rPr>
        <w:t xml:space="preserve">Observation 1: Scaling by a reference beam removes the need to feedback coefficient for one out </w:t>
      </w:r>
      <w:r w:rsidR="000A308B">
        <w:rPr>
          <w:b/>
          <w:i/>
        </w:rPr>
        <w:t xml:space="preserve">of </w:t>
      </w:r>
      <w:r w:rsidRPr="007B36BE">
        <w:rPr>
          <w:b/>
          <w:i/>
        </w:rPr>
        <w:t>2L beams.</w:t>
      </w:r>
    </w:p>
    <w:p w:rsidR="002D3A8F" w:rsidRDefault="002D3A8F" w:rsidP="002D3A8F">
      <w:pPr>
        <w:pStyle w:val="MTDisplayEquation"/>
        <w:jc w:val="left"/>
        <w:rPr>
          <w:b/>
          <w:i/>
        </w:rPr>
      </w:pPr>
      <w:r>
        <w:rPr>
          <w:b/>
          <w:i/>
        </w:rPr>
        <w:t>Observation 2</w:t>
      </w:r>
      <w:r w:rsidRPr="007B36BE">
        <w:rPr>
          <w:b/>
          <w:i/>
        </w:rPr>
        <w:t xml:space="preserve">: </w:t>
      </w:r>
      <w:r>
        <w:rPr>
          <w:b/>
          <w:i/>
        </w:rPr>
        <w:t xml:space="preserve">Most of the beam energy in the time domain can be captured by including taps within a window around a dominant tap. Varying the width of the window based on the beam’s dominant tap </w:t>
      </w:r>
      <w:r w:rsidR="000A308B">
        <w:rPr>
          <w:b/>
          <w:i/>
        </w:rPr>
        <w:t>magnitude</w:t>
      </w:r>
      <w:r>
        <w:rPr>
          <w:b/>
          <w:i/>
        </w:rPr>
        <w:t xml:space="preserve"> should be considered.</w:t>
      </w:r>
    </w:p>
    <w:p w:rsidR="002D3A8F" w:rsidRDefault="002D3A8F" w:rsidP="002D3A8F">
      <w:pPr>
        <w:pStyle w:val="MTDisplayEquation"/>
        <w:jc w:val="left"/>
        <w:rPr>
          <w:b/>
          <w:i/>
        </w:rPr>
      </w:pPr>
      <w:r>
        <w:rPr>
          <w:b/>
          <w:i/>
        </w:rPr>
        <w:t>Observation 3</w:t>
      </w:r>
      <w:r w:rsidRPr="007B36BE">
        <w:rPr>
          <w:b/>
          <w:i/>
        </w:rPr>
        <w:t xml:space="preserve">: </w:t>
      </w:r>
      <w:r>
        <w:rPr>
          <w:b/>
          <w:i/>
        </w:rPr>
        <w:t xml:space="preserve">Adjacent taps should be quantized relative to the beam’s dominant tap and varying the number of bits of quantization of adjacent taps with beam should be considered. </w:t>
      </w:r>
    </w:p>
    <w:p w:rsidR="000F0998" w:rsidRPr="002D3A8F" w:rsidRDefault="002D3A8F" w:rsidP="002D3A8F">
      <w:pPr>
        <w:pStyle w:val="MTDisplayEquation"/>
        <w:jc w:val="left"/>
        <w:rPr>
          <w:b/>
          <w:i/>
        </w:rPr>
      </w:pPr>
      <w:r>
        <w:rPr>
          <w:b/>
          <w:i/>
        </w:rPr>
        <w:t>Observation 4</w:t>
      </w:r>
      <w:r w:rsidRPr="007B36BE">
        <w:rPr>
          <w:b/>
          <w:i/>
        </w:rPr>
        <w:t xml:space="preserve">: </w:t>
      </w:r>
      <w:r>
        <w:rPr>
          <w:b/>
          <w:i/>
        </w:rPr>
        <w:t>Reporting of beams’ dominant tap indices should be restricted to a configurable window size to ease UE feedback requirements in deployments with low delay spread.</w:t>
      </w:r>
    </w:p>
    <w:p w:rsidR="002D3A8F" w:rsidRDefault="002D3A8F" w:rsidP="002D3A8F">
      <w:pPr>
        <w:widowControl w:val="0"/>
        <w:jc w:val="left"/>
      </w:pPr>
      <w:r w:rsidRPr="002D3A8F">
        <w:rPr>
          <w:b/>
          <w:i/>
        </w:rPr>
        <w:t>Observation 5</w:t>
      </w:r>
      <w:r>
        <w:rPr>
          <w:b/>
          <w:i/>
        </w:rPr>
        <w:t>:</w:t>
      </w:r>
      <w:r w:rsidRPr="002D3A8F">
        <w:rPr>
          <w:b/>
          <w:i/>
        </w:rPr>
        <w:t xml:space="preserve">  Time domain compression can simultaneously improve performance and reduce feedback overhead compared to Type II feedback</w:t>
      </w:r>
      <w:r w:rsidRPr="002D010B">
        <w:t>.</w:t>
      </w:r>
    </w:p>
    <w:p w:rsidR="002D3A8F" w:rsidRPr="002D3A8F" w:rsidRDefault="002D3A8F" w:rsidP="002D3A8F">
      <w:pPr>
        <w:keepNext/>
        <w:contextualSpacing/>
        <w:jc w:val="left"/>
        <w:rPr>
          <w:b/>
          <w:i/>
        </w:rPr>
      </w:pPr>
      <w:r w:rsidRPr="002D3A8F">
        <w:rPr>
          <w:b/>
          <w:i/>
        </w:rPr>
        <w:t>Observation 6</w:t>
      </w:r>
      <w:r>
        <w:rPr>
          <w:b/>
          <w:i/>
        </w:rPr>
        <w:t xml:space="preserve">: </w:t>
      </w:r>
      <w:r w:rsidRPr="002D3A8F">
        <w:rPr>
          <w:b/>
          <w:i/>
        </w:rPr>
        <w:t>It is important to evaluate variations of window size and coefficient quantization for dominant and non-dominant beams.</w:t>
      </w:r>
    </w:p>
    <w:p w:rsidR="002D010B" w:rsidRPr="002D010B" w:rsidRDefault="002D010B" w:rsidP="002D010B"/>
    <w:p w:rsidR="002D010B" w:rsidRPr="002D010B" w:rsidRDefault="002D010B" w:rsidP="002D010B">
      <w:pPr>
        <w:keepNext/>
        <w:numPr>
          <w:ilvl w:val="0"/>
          <w:numId w:val="2"/>
        </w:numPr>
        <w:spacing w:before="240" w:after="0" w:line="240" w:lineRule="atLeast"/>
        <w:ind w:right="-360"/>
        <w:jc w:val="left"/>
        <w:outlineLvl w:val="0"/>
        <w:rPr>
          <w:rFonts w:ascii="Arial" w:hAnsi="Arial"/>
          <w:b/>
          <w:kern w:val="2"/>
          <w:sz w:val="24"/>
        </w:rPr>
      </w:pPr>
      <w:r w:rsidRPr="002D010B">
        <w:rPr>
          <w:rFonts w:ascii="Arial" w:hAnsi="Arial"/>
          <w:b/>
          <w:kern w:val="2"/>
          <w:sz w:val="24"/>
        </w:rPr>
        <w:t>References</w:t>
      </w:r>
    </w:p>
    <w:p w:rsidR="00350C68" w:rsidRDefault="00350C68" w:rsidP="002D010B">
      <w:pPr>
        <w:numPr>
          <w:ilvl w:val="0"/>
          <w:numId w:val="1"/>
        </w:numPr>
        <w:spacing w:before="120" w:after="0"/>
      </w:pPr>
      <w:bookmarkStart w:id="9" w:name="_Ref528845975"/>
      <w:bookmarkStart w:id="10" w:name="_Ref525894800"/>
      <w:bookmarkStart w:id="11" w:name="_Ref525655431"/>
      <w:r>
        <w:t>R1-1811801, “Proposed work plan for Rel. 16 NR MIMO”, RAN1#94bis, Samsung</w:t>
      </w:r>
      <w:bookmarkEnd w:id="9"/>
    </w:p>
    <w:p w:rsidR="002D010B" w:rsidRPr="002D010B" w:rsidRDefault="002D010B" w:rsidP="002D010B">
      <w:pPr>
        <w:numPr>
          <w:ilvl w:val="0"/>
          <w:numId w:val="1"/>
        </w:numPr>
        <w:spacing w:before="120" w:after="0"/>
      </w:pPr>
      <w:r w:rsidRPr="002D010B">
        <w:t>RP-182067, “Revised WID: Enhancements on MIMO for NR”, RAN #81, Samsung.</w:t>
      </w:r>
      <w:bookmarkEnd w:id="10"/>
    </w:p>
    <w:p w:rsidR="002D010B" w:rsidRPr="002D010B" w:rsidRDefault="002D010B" w:rsidP="002D010B">
      <w:pPr>
        <w:numPr>
          <w:ilvl w:val="0"/>
          <w:numId w:val="1"/>
        </w:numPr>
        <w:spacing w:before="120" w:after="0"/>
      </w:pPr>
      <w:bookmarkStart w:id="12" w:name="_Ref525763898"/>
      <w:r w:rsidRPr="002D010B">
        <w:t>R1-1802748, “Frequency-parametrization for Type II CSI codebook”, RAN1# 92, Ericsson.</w:t>
      </w:r>
      <w:bookmarkEnd w:id="11"/>
      <w:bookmarkEnd w:id="12"/>
    </w:p>
    <w:p w:rsidR="002D010B" w:rsidRPr="002D010B" w:rsidRDefault="00592618" w:rsidP="00592618">
      <w:pPr>
        <w:pStyle w:val="Reference"/>
      </w:pPr>
      <w:r w:rsidRPr="00592618">
        <w:rPr>
          <w:kern w:val="2"/>
          <w:lang w:eastAsia="zh-CN"/>
        </w:rPr>
        <w:t>R1-1810103</w:t>
      </w:r>
      <w:r w:rsidR="002D010B" w:rsidRPr="002D010B">
        <w:t>, “</w:t>
      </w:r>
      <w:r w:rsidRPr="00592618">
        <w:t>Discussion on CSI enhancement for MU-MIMO</w:t>
      </w:r>
      <w:r w:rsidR="00350C68">
        <w:t>”, RAN1#94bis</w:t>
      </w:r>
      <w:r w:rsidR="002D010B" w:rsidRPr="002D010B">
        <w:t>, Huawei, Hi Silicon.</w:t>
      </w:r>
    </w:p>
    <w:p w:rsidR="002D010B" w:rsidRDefault="002D010B" w:rsidP="002D010B">
      <w:pPr>
        <w:numPr>
          <w:ilvl w:val="0"/>
          <w:numId w:val="1"/>
        </w:numPr>
        <w:spacing w:before="120" w:after="0"/>
      </w:pPr>
      <w:bookmarkStart w:id="13" w:name="_Ref525728783"/>
      <w:r w:rsidRPr="002D010B">
        <w:t>R1-1713144, “Discussion on overhead reduction for Type II codebook”, RAN1# 90, LG Electronics</w:t>
      </w:r>
      <w:bookmarkEnd w:id="13"/>
      <w:r w:rsidRPr="002D010B">
        <w:t>.</w:t>
      </w:r>
    </w:p>
    <w:p w:rsidR="007A19B9" w:rsidRPr="002D010B" w:rsidRDefault="007A19B9" w:rsidP="007A19B9">
      <w:pPr>
        <w:pStyle w:val="Reference"/>
      </w:pPr>
      <w:r>
        <w:t>R1-1713591, “</w:t>
      </w:r>
      <w:r w:rsidRPr="004017C7">
        <w:t>Differential reporting for Type II CSI</w:t>
      </w:r>
      <w:r>
        <w:t>”, RAN1 #90, Samsung.</w:t>
      </w:r>
    </w:p>
    <w:p w:rsidR="002D010B" w:rsidRPr="002D010B" w:rsidRDefault="002D010B" w:rsidP="002D010B">
      <w:pPr>
        <w:numPr>
          <w:ilvl w:val="0"/>
          <w:numId w:val="1"/>
        </w:numPr>
        <w:spacing w:before="120" w:after="0"/>
      </w:pPr>
      <w:bookmarkStart w:id="14" w:name="_Ref525811037"/>
      <w:r w:rsidRPr="002D010B">
        <w:t>R1-1709232, “WF on Type I and II CSI codebooks”, RAN1#89, Samsung et al.</w:t>
      </w:r>
      <w:bookmarkEnd w:id="14"/>
    </w:p>
    <w:p w:rsidR="002D010B" w:rsidRPr="002D010B" w:rsidRDefault="00592618" w:rsidP="00592618">
      <w:pPr>
        <w:pStyle w:val="Reference"/>
      </w:pPr>
      <w:bookmarkStart w:id="15" w:name="_Ref525831658"/>
      <w:bookmarkStart w:id="16" w:name="_Ref525832733"/>
      <w:r w:rsidRPr="00592618">
        <w:t>R1-1810884</w:t>
      </w:r>
      <w:r w:rsidR="002D010B" w:rsidRPr="002D010B">
        <w:t>, “</w:t>
      </w:r>
      <w:r w:rsidRPr="00592618">
        <w:t>CSI enhancement for MU-MIMO</w:t>
      </w:r>
      <w:r w:rsidR="00350C68">
        <w:t>”, RAN1 #94bis</w:t>
      </w:r>
      <w:r w:rsidR="002D010B" w:rsidRPr="002D010B">
        <w:t>, Samsung</w:t>
      </w:r>
      <w:bookmarkEnd w:id="15"/>
      <w:r w:rsidR="002D010B" w:rsidRPr="002D010B">
        <w:t>.</w:t>
      </w:r>
      <w:bookmarkEnd w:id="16"/>
    </w:p>
    <w:p w:rsidR="002D010B" w:rsidRPr="002D010B" w:rsidRDefault="00592618" w:rsidP="00592618">
      <w:pPr>
        <w:pStyle w:val="Reference"/>
      </w:pPr>
      <w:r w:rsidRPr="00592618">
        <w:t>R1-1811088</w:t>
      </w:r>
      <w:r w:rsidR="002D010B" w:rsidRPr="002D010B">
        <w:t>, “Enhancements on Type – II CSI Reporting Scheme”, RAN1</w:t>
      </w:r>
      <w:r w:rsidR="00350C68">
        <w:t xml:space="preserve"> #94bis</w:t>
      </w:r>
      <w:r w:rsidR="002D010B" w:rsidRPr="002D010B">
        <w:t>, Fraunhofer IIS, Fraunhofer HHI.</w:t>
      </w:r>
    </w:p>
    <w:p w:rsidR="002D010B" w:rsidRDefault="00E63CDA" w:rsidP="00832EFA">
      <w:pPr>
        <w:pStyle w:val="Reference"/>
      </w:pPr>
      <w:bookmarkStart w:id="17" w:name="_Ref525832756"/>
      <w:r>
        <w:t xml:space="preserve"> </w:t>
      </w:r>
      <w:bookmarkStart w:id="18" w:name="_Ref528942248"/>
      <w:r w:rsidR="00832EFA">
        <w:t>R1-1810219</w:t>
      </w:r>
      <w:r w:rsidR="002D010B" w:rsidRPr="002D010B">
        <w:t>, “</w:t>
      </w:r>
      <w:r w:rsidR="00832EFA" w:rsidRPr="00832EFA">
        <w:t>Type II CSI enhancements for MU-MIMO</w:t>
      </w:r>
      <w:r w:rsidR="00350C68">
        <w:t>”, RAN1#94bis</w:t>
      </w:r>
      <w:r w:rsidR="002D010B" w:rsidRPr="002D010B">
        <w:t>, ZTE</w:t>
      </w:r>
      <w:bookmarkEnd w:id="17"/>
      <w:r>
        <w:t>.</w:t>
      </w:r>
      <w:bookmarkEnd w:id="18"/>
    </w:p>
    <w:p w:rsidR="00E63CDA" w:rsidRPr="002D010B" w:rsidRDefault="00E63CDA" w:rsidP="00832EFA">
      <w:pPr>
        <w:pStyle w:val="Reference"/>
      </w:pPr>
      <w:r>
        <w:t xml:space="preserve"> </w:t>
      </w:r>
      <w:bookmarkStart w:id="19" w:name="_Ref528926147"/>
      <w:r>
        <w:t>R1-1911205, “Type II CSI overhead reduction”, RAN1#94bis, Motorola-Mobility, Lenovo.</w:t>
      </w:r>
      <w:bookmarkEnd w:id="19"/>
    </w:p>
    <w:p w:rsidR="002D010B" w:rsidRPr="002D010B" w:rsidRDefault="002D010B" w:rsidP="002D010B"/>
    <w:bookmarkEnd w:id="1"/>
    <w:p w:rsidR="002D010B" w:rsidRPr="002D010B" w:rsidRDefault="002D010B" w:rsidP="002D010B">
      <w:pPr>
        <w:spacing w:before="0" w:after="0" w:line="240" w:lineRule="auto"/>
        <w:jc w:val="left"/>
      </w:pPr>
      <w:r w:rsidRPr="002D010B">
        <w:br w:type="page"/>
      </w:r>
    </w:p>
    <w:p w:rsidR="002D010B" w:rsidRPr="002D010B" w:rsidRDefault="002D010B" w:rsidP="002D010B">
      <w:pPr>
        <w:spacing w:after="240"/>
        <w:rPr>
          <w:rFonts w:ascii="Arial" w:hAnsi="Arial" w:cs="Arial"/>
          <w:b/>
          <w:sz w:val="24"/>
        </w:rPr>
      </w:pPr>
      <w:r w:rsidRPr="002D010B">
        <w:rPr>
          <w:rFonts w:ascii="Arial" w:hAnsi="Arial" w:cs="Arial"/>
          <w:b/>
          <w:sz w:val="24"/>
        </w:rPr>
        <w:lastRenderedPageBreak/>
        <w:t>Appendix</w:t>
      </w:r>
      <w:r w:rsidR="00BA4C27">
        <w:rPr>
          <w:rFonts w:ascii="Arial" w:hAnsi="Arial" w:cs="Arial"/>
          <w:b/>
          <w:sz w:val="24"/>
        </w:rPr>
        <w:t xml:space="preserve"> </w:t>
      </w:r>
    </w:p>
    <w:p w:rsidR="00BA4C27" w:rsidRDefault="00BA4C27" w:rsidP="00BA4C27">
      <w:pPr>
        <w:pStyle w:val="Caption"/>
        <w:keepNext/>
      </w:pPr>
      <w:r>
        <w:t xml:space="preserve">Table </w:t>
      </w:r>
      <w:r w:rsidR="002B3502">
        <w:rPr>
          <w:noProof/>
        </w:rPr>
        <w:fldChar w:fldCharType="begin"/>
      </w:r>
      <w:r w:rsidR="002B3502">
        <w:rPr>
          <w:noProof/>
        </w:rPr>
        <w:instrText xml:space="preserve"> SEQ Table \* ARABIC </w:instrText>
      </w:r>
      <w:r w:rsidR="002B3502">
        <w:rPr>
          <w:noProof/>
        </w:rPr>
        <w:fldChar w:fldCharType="separate"/>
      </w:r>
      <w:r w:rsidR="0070713C">
        <w:rPr>
          <w:noProof/>
        </w:rPr>
        <w:t>2</w:t>
      </w:r>
      <w:r w:rsidR="002B3502">
        <w:rPr>
          <w:noProof/>
        </w:rPr>
        <w:fldChar w:fldCharType="end"/>
      </w:r>
      <w:r>
        <w:t>: Simulation assumptions</w:t>
      </w:r>
    </w:p>
    <w:tbl>
      <w:tblPr>
        <w:tblW w:w="8635" w:type="dxa"/>
        <w:tblInd w:w="-5" w:type="dxa"/>
        <w:tblLook w:val="04A0" w:firstRow="1" w:lastRow="0" w:firstColumn="1" w:lastColumn="0" w:noHBand="0" w:noVBand="1"/>
      </w:tblPr>
      <w:tblGrid>
        <w:gridCol w:w="4317"/>
        <w:gridCol w:w="4318"/>
      </w:tblGrid>
      <w:tr w:rsidR="002D010B" w:rsidRPr="002D010B" w:rsidTr="00A835BD">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2D010B" w:rsidRPr="002D010B" w:rsidTr="00A835BD">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2D010B" w:rsidRPr="002D010B" w:rsidTr="00A835BD">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2D010B" w:rsidRPr="002D010B" w:rsidTr="00A835BD">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2D010B" w:rsidRPr="002D010B" w:rsidRDefault="008D4DCB"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8D4DCB" w:rsidP="002D010B">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2D010B" w:rsidRPr="002D010B" w:rsidTr="00A835BD">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2D010B" w:rsidRPr="002D010B" w:rsidTr="00A835BD">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2D010B" w:rsidRPr="002D010B" w:rsidTr="00A835BD">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8D4DCB"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8D4DCB"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w:t>
            </w:r>
            <w:r w:rsidR="005078F0">
              <w:rPr>
                <w:rFonts w:ascii="Arial" w:eastAsia="Times New Roman" w:hAnsi="Arial" w:cs="Arial"/>
                <w:sz w:val="18"/>
                <w:szCs w:val="18"/>
              </w:rPr>
              <w:t xml:space="preserve"> (Macro layer only)</w:t>
            </w:r>
          </w:p>
        </w:tc>
      </w:tr>
      <w:tr w:rsidR="00BA4C27" w:rsidRPr="002D010B" w:rsidTr="00A835BD">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BA4C27" w:rsidRDefault="00BA4C27"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rsidR="00BA4C27" w:rsidRDefault="00BA4C27"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A835BD" w:rsidRPr="002D010B" w:rsidTr="00A835BD">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A835BD" w:rsidRPr="002D010B" w:rsidRDefault="00A835BD" w:rsidP="00A835BD">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rsidR="00A835BD" w:rsidRPr="002D010B" w:rsidRDefault="007A19B9" w:rsidP="00A835BD">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w:t>
            </w:r>
            <w:r w:rsidR="00BA4C27">
              <w:rPr>
                <w:rFonts w:ascii="Arial" w:eastAsia="Times New Roman" w:hAnsi="Arial" w:cs="Arial"/>
                <w:sz w:val="18"/>
                <w:szCs w:val="18"/>
              </w:rPr>
              <w:t xml:space="preserve"> </w:t>
            </w:r>
          </w:p>
        </w:tc>
      </w:tr>
      <w:tr w:rsidR="0086410F" w:rsidRPr="002D010B" w:rsidTr="00A835BD">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6410F" w:rsidRPr="0060793B" w:rsidRDefault="0086410F" w:rsidP="00A835BD">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rsidR="0086410F" w:rsidRDefault="0086410F" w:rsidP="00A835BD">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A835BD" w:rsidRPr="002D010B" w:rsidTr="00A835BD">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A835BD" w:rsidRPr="002D010B" w:rsidRDefault="00A835BD" w:rsidP="00A835BD">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rsidR="00A835BD" w:rsidRPr="008D4DCB" w:rsidRDefault="00A835BD" w:rsidP="00A835BD">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2D010B" w:rsidRPr="002D010B" w:rsidTr="00A835BD">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4 beams, wb+sb, 8psk</w:t>
            </w:r>
          </w:p>
        </w:tc>
      </w:tr>
      <w:tr w:rsidR="002D010B" w:rsidRPr="002D010B" w:rsidTr="00A835BD">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sidR="008D4DCB">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2D010B" w:rsidRPr="002D010B" w:rsidTr="00A835BD">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2D010B" w:rsidRPr="002D010B" w:rsidTr="00A835BD">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8D4DCB"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 layers</w:t>
            </w:r>
          </w:p>
        </w:tc>
      </w:tr>
      <w:tr w:rsidR="002D010B" w:rsidRPr="002D010B" w:rsidTr="00A835BD">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sidR="0086410F">
              <w:rPr>
                <w:rFonts w:ascii="Arial" w:eastAsia="Times New Roman" w:hAnsi="Arial" w:cs="Arial"/>
                <w:sz w:val="18"/>
                <w:szCs w:val="18"/>
              </w:rPr>
              <w:t>c</w:t>
            </w:r>
            <w:r w:rsidRPr="002D010B">
              <w:rPr>
                <w:rFonts w:ascii="Arial" w:eastAsia="Times New Roman" w:hAnsi="Arial" w:cs="Arial"/>
                <w:sz w:val="18"/>
                <w:szCs w:val="18"/>
              </w:rPr>
              <w:t>odeword</w:t>
            </w:r>
          </w:p>
        </w:tc>
      </w:tr>
      <w:tr w:rsidR="002D010B" w:rsidRPr="002D010B" w:rsidTr="00A835BD">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sidR="00A835BD">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2D010B" w:rsidRPr="002D010B" w:rsidTr="00A835BD">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2D010B" w:rsidRPr="002D010B" w:rsidTr="00A835BD">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2D010B" w:rsidRPr="002D010B" w:rsidTr="00A835BD">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2D010B" w:rsidRPr="002D010B" w:rsidTr="00A835BD">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8D4DCB"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(8,4,2,1,1;2,4</w:t>
            </w:r>
            <w:r w:rsidR="002D010B" w:rsidRPr="002D010B">
              <w:rPr>
                <w:rFonts w:ascii="Arial" w:eastAsia="Times New Roman" w:hAnsi="Arial" w:cs="Arial"/>
                <w:sz w:val="18"/>
                <w:szCs w:val="18"/>
              </w:rPr>
              <w:t>)</w:t>
            </w:r>
            <w:r w:rsidR="002D010B" w:rsidRPr="002D010B">
              <w:rPr>
                <w:rFonts w:ascii="Arial" w:eastAsia="Times New Roman" w:hAnsi="Arial" w:cs="Arial"/>
                <w:sz w:val="18"/>
                <w:szCs w:val="18"/>
              </w:rPr>
              <w:br/>
              <w:t>(dH, dV)=(0.5, 0.8)λ</w:t>
            </w:r>
          </w:p>
        </w:tc>
      </w:tr>
      <w:tr w:rsidR="002D010B" w:rsidRPr="002D010B" w:rsidTr="00A835BD">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8D4DCB"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(1,1,2,1,1; 1,1</w:t>
            </w:r>
            <w:r w:rsidR="002D010B" w:rsidRPr="002D010B">
              <w:rPr>
                <w:rFonts w:ascii="Arial" w:eastAsia="Times New Roman" w:hAnsi="Arial" w:cs="Arial"/>
                <w:sz w:val="18"/>
                <w:szCs w:val="18"/>
              </w:rPr>
              <w:t>)</w:t>
            </w:r>
            <w:r w:rsidR="002D010B" w:rsidRPr="002D010B">
              <w:rPr>
                <w:rFonts w:ascii="Arial" w:eastAsia="Times New Roman" w:hAnsi="Arial" w:cs="Arial"/>
                <w:sz w:val="18"/>
                <w:szCs w:val="18"/>
              </w:rPr>
              <w:br/>
              <w:t>(dH, dV)=(0.5, N/A)λ</w:t>
            </w:r>
          </w:p>
        </w:tc>
      </w:tr>
      <w:tr w:rsidR="002D010B" w:rsidRPr="002D010B" w:rsidTr="00A835BD">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2D010B" w:rsidRPr="002D010B" w:rsidTr="00A835BD">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2D010B" w:rsidRPr="002D010B" w:rsidTr="00A835BD">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A835BD" w:rsidRPr="002D010B" w:rsidTr="00A835BD">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835BD" w:rsidRPr="002D010B" w:rsidRDefault="00A835BD" w:rsidP="002D010B">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835BD" w:rsidRPr="002D010B" w:rsidRDefault="00A835BD" w:rsidP="002D010B">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2D010B" w:rsidRPr="002D010B" w:rsidTr="00A835BD">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2D010B" w:rsidRPr="002D010B" w:rsidTr="00A835BD">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rsidR="002D010B" w:rsidRPr="002D010B" w:rsidRDefault="002D010B" w:rsidP="002D010B">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sidR="00A835BD">
              <w:rPr>
                <w:rFonts w:ascii="Arial" w:eastAsia="Times New Roman" w:hAnsi="Arial" w:cs="Arial"/>
                <w:bCs/>
                <w:sz w:val="18"/>
                <w:szCs w:val="18"/>
              </w:rPr>
              <w:t xml:space="preserve"> dB</w:t>
            </w:r>
          </w:p>
        </w:tc>
      </w:tr>
      <w:tr w:rsidR="002D010B" w:rsidRPr="002D010B" w:rsidTr="00A835BD">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rsidR="002D010B" w:rsidRPr="002D010B" w:rsidRDefault="002D010B" w:rsidP="002D010B">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rsidR="002D010B" w:rsidRPr="002D010B" w:rsidRDefault="002D010B" w:rsidP="002D010B">
      <w:pPr>
        <w:rPr>
          <w:rFonts w:ascii="Arial" w:hAnsi="Arial" w:cs="Arial"/>
          <w:b/>
          <w:sz w:val="24"/>
        </w:rPr>
      </w:pPr>
    </w:p>
    <w:p w:rsidR="002D010B" w:rsidRDefault="002D010B" w:rsidP="00F74F67">
      <w:pPr>
        <w:pStyle w:val="Title"/>
        <w:tabs>
          <w:tab w:val="clear" w:pos="3780"/>
          <w:tab w:val="left" w:pos="1890"/>
          <w:tab w:val="left" w:pos="4109"/>
          <w:tab w:val="left" w:pos="5850"/>
        </w:tabs>
        <w:spacing w:line="240" w:lineRule="exact"/>
        <w:ind w:left="1890" w:hanging="1890"/>
        <w:rPr>
          <w:lang w:val="en-GB"/>
        </w:rPr>
      </w:pPr>
    </w:p>
    <w:sectPr w:rsidR="002D010B" w:rsidSect="00973215">
      <w:headerReference w:type="even" r:id="rId48"/>
      <w:headerReference w:type="default" r:id="rId49"/>
      <w:footerReference w:type="even" r:id="rId50"/>
      <w:footerReference w:type="default" r:id="rId51"/>
      <w:headerReference w:type="first" r:id="rId52"/>
      <w:footerReference w:type="first" r:id="rId53"/>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A45" w:rsidRDefault="00E75A45">
      <w:r>
        <w:separator/>
      </w:r>
    </w:p>
  </w:endnote>
  <w:endnote w:type="continuationSeparator" w:id="0">
    <w:p w:rsidR="00E75A45" w:rsidRDefault="00E7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Arial">
    <w:altName w:val="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E4" w:rsidRDefault="004F6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E4" w:rsidRDefault="004F6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E4" w:rsidRDefault="004F6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A45" w:rsidRDefault="00E75A45">
      <w:r>
        <w:separator/>
      </w:r>
    </w:p>
  </w:footnote>
  <w:footnote w:type="continuationSeparator" w:id="0">
    <w:p w:rsidR="00E75A45" w:rsidRDefault="00E75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E4" w:rsidRDefault="004F6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E4" w:rsidRDefault="004F6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E4" w:rsidRDefault="004F6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2" w15:restartNumberingAfterBreak="0">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3" w15:restartNumberingAfterBreak="0">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79D1DB3"/>
    <w:multiLevelType w:val="hybridMultilevel"/>
    <w:tmpl w:val="056AF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26" w15:restartNumberingAfterBreak="0">
    <w:nsid w:val="57A47BF5"/>
    <w:multiLevelType w:val="hybridMultilevel"/>
    <w:tmpl w:val="334AF3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8" w15:restartNumberingAfterBreak="0">
    <w:nsid w:val="598E6C14"/>
    <w:multiLevelType w:val="hybridMultilevel"/>
    <w:tmpl w:val="45728D9A"/>
    <w:lvl w:ilvl="0" w:tplc="27A6601A">
      <w:start w:val="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30" w15:restartNumberingAfterBreak="0">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33" w15:restartNumberingAfterBreak="0">
    <w:nsid w:val="64751DAA"/>
    <w:multiLevelType w:val="hybridMultilevel"/>
    <w:tmpl w:val="512A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98D108A"/>
    <w:multiLevelType w:val="hybridMultilevel"/>
    <w:tmpl w:val="6AFC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37"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39" w15:restartNumberingAfterBreak="0">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1"/>
  </w:num>
  <w:num w:numId="3">
    <w:abstractNumId w:val="27"/>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7"/>
  </w:num>
  <w:num w:numId="16">
    <w:abstractNumId w:val="34"/>
  </w:num>
  <w:num w:numId="17">
    <w:abstractNumId w:val="18"/>
  </w:num>
  <w:num w:numId="18">
    <w:abstractNumId w:val="43"/>
  </w:num>
  <w:num w:numId="19">
    <w:abstractNumId w:val="13"/>
  </w:num>
  <w:num w:numId="20">
    <w:abstractNumId w:val="32"/>
  </w:num>
  <w:num w:numId="21">
    <w:abstractNumId w:val="12"/>
  </w:num>
  <w:num w:numId="22">
    <w:abstractNumId w:val="19"/>
  </w:num>
  <w:num w:numId="23">
    <w:abstractNumId w:val="20"/>
  </w:num>
  <w:num w:numId="24">
    <w:abstractNumId w:val="30"/>
  </w:num>
  <w:num w:numId="25">
    <w:abstractNumId w:val="15"/>
  </w:num>
  <w:num w:numId="26">
    <w:abstractNumId w:val="24"/>
  </w:num>
  <w:num w:numId="27">
    <w:abstractNumId w:val="36"/>
  </w:num>
  <w:num w:numId="28">
    <w:abstractNumId w:val="29"/>
  </w:num>
  <w:num w:numId="29">
    <w:abstractNumId w:val="16"/>
  </w:num>
  <w:num w:numId="30">
    <w:abstractNumId w:val="39"/>
  </w:num>
  <w:num w:numId="31">
    <w:abstractNumId w:val="38"/>
  </w:num>
  <w:num w:numId="32">
    <w:abstractNumId w:val="41"/>
  </w:num>
  <w:num w:numId="33">
    <w:abstractNumId w:val="31"/>
  </w:num>
  <w:num w:numId="34">
    <w:abstractNumId w:val="22"/>
  </w:num>
  <w:num w:numId="35">
    <w:abstractNumId w:val="40"/>
  </w:num>
  <w:num w:numId="36">
    <w:abstractNumId w:val="21"/>
  </w:num>
  <w:num w:numId="37">
    <w:abstractNumId w:val="10"/>
  </w:num>
  <w:num w:numId="38">
    <w:abstractNumId w:val="23"/>
  </w:num>
  <w:num w:numId="39">
    <w:abstractNumId w:val="17"/>
  </w:num>
  <w:num w:numId="40">
    <w:abstractNumId w:val="35"/>
  </w:num>
  <w:num w:numId="41">
    <w:abstractNumId w:val="33"/>
  </w:num>
  <w:num w:numId="42">
    <w:abstractNumId w:val="28"/>
  </w:num>
  <w:num w:numId="43">
    <w:abstractNumId w:val="14"/>
  </w:num>
  <w:num w:numId="44">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637F94"/>
    <w:rsid w:val="000000BA"/>
    <w:rsid w:val="000004CB"/>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765"/>
    <w:rsid w:val="00020BFB"/>
    <w:rsid w:val="00021001"/>
    <w:rsid w:val="000211C0"/>
    <w:rsid w:val="00021240"/>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A56"/>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08B"/>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524"/>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998"/>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6B37"/>
    <w:rsid w:val="0013729A"/>
    <w:rsid w:val="00137E33"/>
    <w:rsid w:val="00137E8B"/>
    <w:rsid w:val="00137F07"/>
    <w:rsid w:val="001402A2"/>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9A"/>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164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3F3"/>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0E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146"/>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7D0"/>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502"/>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10B"/>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8F"/>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D7A7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3B5"/>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47CF3"/>
    <w:rsid w:val="003505F0"/>
    <w:rsid w:val="00350C68"/>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665"/>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9D"/>
    <w:rsid w:val="003807AF"/>
    <w:rsid w:val="00380C1C"/>
    <w:rsid w:val="003811C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2B1"/>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45CB"/>
    <w:rsid w:val="003F47A3"/>
    <w:rsid w:val="003F4882"/>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464"/>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E9E"/>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6E4"/>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8F0"/>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8D1"/>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700F"/>
    <w:rsid w:val="005476A1"/>
    <w:rsid w:val="005503B5"/>
    <w:rsid w:val="0055081E"/>
    <w:rsid w:val="00550971"/>
    <w:rsid w:val="005512F2"/>
    <w:rsid w:val="005514EE"/>
    <w:rsid w:val="0055191A"/>
    <w:rsid w:val="00551B4D"/>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618"/>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93B"/>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37F9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59A"/>
    <w:rsid w:val="00682930"/>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8CE"/>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0A94"/>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3C"/>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0EB"/>
    <w:rsid w:val="00725448"/>
    <w:rsid w:val="00725C5D"/>
    <w:rsid w:val="00725C9B"/>
    <w:rsid w:val="00726C46"/>
    <w:rsid w:val="00726CE8"/>
    <w:rsid w:val="00726D82"/>
    <w:rsid w:val="007274B4"/>
    <w:rsid w:val="0072751A"/>
    <w:rsid w:val="00727672"/>
    <w:rsid w:val="0072770B"/>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9B9"/>
    <w:rsid w:val="007A1BBB"/>
    <w:rsid w:val="007A1E1C"/>
    <w:rsid w:val="007A311F"/>
    <w:rsid w:val="007A3595"/>
    <w:rsid w:val="007A3699"/>
    <w:rsid w:val="007A389B"/>
    <w:rsid w:val="007A42F6"/>
    <w:rsid w:val="007A44A9"/>
    <w:rsid w:val="007A4D0C"/>
    <w:rsid w:val="007A4EF3"/>
    <w:rsid w:val="007A4EFD"/>
    <w:rsid w:val="007A68F8"/>
    <w:rsid w:val="007A733E"/>
    <w:rsid w:val="007A77F1"/>
    <w:rsid w:val="007A7D3E"/>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6BE"/>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0A1B"/>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2D8A"/>
    <w:rsid w:val="00832EFA"/>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0F"/>
    <w:rsid w:val="00864130"/>
    <w:rsid w:val="008643F2"/>
    <w:rsid w:val="0086440D"/>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4FC"/>
    <w:rsid w:val="008A15B0"/>
    <w:rsid w:val="008A1E35"/>
    <w:rsid w:val="008A1EB4"/>
    <w:rsid w:val="008A31CF"/>
    <w:rsid w:val="008A3998"/>
    <w:rsid w:val="008A3B7F"/>
    <w:rsid w:val="008A3C67"/>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2C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CB"/>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860"/>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446"/>
    <w:rsid w:val="009F46B6"/>
    <w:rsid w:val="009F4871"/>
    <w:rsid w:val="009F50D6"/>
    <w:rsid w:val="009F5160"/>
    <w:rsid w:val="009F5216"/>
    <w:rsid w:val="009F565F"/>
    <w:rsid w:val="009F5945"/>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5BD"/>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8BE"/>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2EF9"/>
    <w:rsid w:val="00AD3052"/>
    <w:rsid w:val="00AD3123"/>
    <w:rsid w:val="00AD31BA"/>
    <w:rsid w:val="00AD36BD"/>
    <w:rsid w:val="00AD3871"/>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820"/>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4C2"/>
    <w:rsid w:val="00B45672"/>
    <w:rsid w:val="00B457D1"/>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1E57"/>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369"/>
    <w:rsid w:val="00B72557"/>
    <w:rsid w:val="00B7289C"/>
    <w:rsid w:val="00B728AD"/>
    <w:rsid w:val="00B72D83"/>
    <w:rsid w:val="00B72D97"/>
    <w:rsid w:val="00B72F95"/>
    <w:rsid w:val="00B73161"/>
    <w:rsid w:val="00B73D3D"/>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C27"/>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344"/>
    <w:rsid w:val="00C04474"/>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59E"/>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32F"/>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5B83"/>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CDA"/>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5A45"/>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4E3F"/>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A99"/>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936"/>
    <w:rsid w:val="00F620A5"/>
    <w:rsid w:val="00F63214"/>
    <w:rsid w:val="00F6347E"/>
    <w:rsid w:val="00F6369D"/>
    <w:rsid w:val="00F63832"/>
    <w:rsid w:val="00F639CF"/>
    <w:rsid w:val="00F63BB2"/>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4CA"/>
    <w:rsid w:val="00F90541"/>
    <w:rsid w:val="00F90BF7"/>
    <w:rsid w:val="00F90C6C"/>
    <w:rsid w:val="00F91514"/>
    <w:rsid w:val="00F91739"/>
    <w:rsid w:val="00F91812"/>
    <w:rsid w:val="00F91B79"/>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1"/>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0BF"/>
    <w:rsid w:val="00FB72F9"/>
    <w:rsid w:val="00FB756F"/>
    <w:rsid w:val="00FB77EF"/>
    <w:rsid w:val="00FB7CDF"/>
    <w:rsid w:val="00FC02C5"/>
    <w:rsid w:val="00FC0681"/>
    <w:rsid w:val="00FC0828"/>
    <w:rsid w:val="00FC0871"/>
    <w:rsid w:val="00FC091B"/>
    <w:rsid w:val="00FC09EB"/>
    <w:rsid w:val="00FC0B87"/>
    <w:rsid w:val="00FC100A"/>
    <w:rsid w:val="00FC1085"/>
    <w:rsid w:val="00FC13E3"/>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1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265508024">
      <w:bodyDiv w:val="1"/>
      <w:marLeft w:val="0"/>
      <w:marRight w:val="0"/>
      <w:marTop w:val="0"/>
      <w:marBottom w:val="0"/>
      <w:divBdr>
        <w:top w:val="none" w:sz="0" w:space="0" w:color="auto"/>
        <w:left w:val="none" w:sz="0" w:space="0" w:color="auto"/>
        <w:bottom w:val="none" w:sz="0" w:space="0" w:color="auto"/>
        <w:right w:val="none" w:sz="0" w:space="0" w:color="auto"/>
      </w:divBdr>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444307051">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png"/><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footer" Target="foot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E7C5A-739C-4E85-85A7-114B6E5B8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2461</Words>
  <Characters>14031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2018-11-03T02:06:00Z</dcterms:created>
  <dcterms:modified xsi:type="dcterms:W3CDTF">2018-11-03T02:52:00Z</dcterms:modified>
</cp:coreProperties>
</file>